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4BA285" w14:textId="0CC104E7" w:rsidR="00F92905" w:rsidRPr="00F92905" w:rsidRDefault="00D97CF8" w:rsidP="00F92905">
      <w:pPr>
        <w:tabs>
          <w:tab w:val="left" w:pos="1980"/>
        </w:tabs>
        <w:rPr>
          <w:rFonts w:eastAsia="SimSun"/>
          <w:b/>
          <w:sz w:val="24"/>
        </w:rPr>
      </w:pPr>
      <w:bookmarkStart w:id="0" w:name="_GoBack"/>
      <w:bookmarkEnd w:id="0"/>
      <w:r w:rsidRPr="00D97CF8">
        <w:rPr>
          <w:rFonts w:eastAsia="SimSun"/>
          <w:b/>
          <w:sz w:val="24"/>
        </w:rPr>
        <w:t>3GPP TSG RAN WG1 Meeting NR#3</w:t>
      </w:r>
      <w:r w:rsidR="00F92905" w:rsidRPr="00F92905">
        <w:rPr>
          <w:rFonts w:eastAsia="SimSun"/>
          <w:b/>
          <w:sz w:val="24"/>
        </w:rPr>
        <w:tab/>
      </w:r>
      <w:r w:rsidR="00F92905" w:rsidRPr="00F92905">
        <w:rPr>
          <w:rFonts w:eastAsia="SimSun"/>
          <w:b/>
          <w:sz w:val="24"/>
        </w:rPr>
        <w:tab/>
      </w:r>
      <w:r w:rsidR="00F92905" w:rsidRPr="00F92905">
        <w:rPr>
          <w:rFonts w:eastAsia="SimSun"/>
          <w:b/>
          <w:sz w:val="24"/>
        </w:rPr>
        <w:tab/>
      </w:r>
      <w:r w:rsidR="00F92905" w:rsidRPr="00F92905">
        <w:rPr>
          <w:rFonts w:eastAsia="SimSun"/>
          <w:b/>
          <w:sz w:val="24"/>
        </w:rPr>
        <w:tab/>
      </w:r>
      <w:r w:rsidR="00F92905" w:rsidRPr="00F92905">
        <w:rPr>
          <w:rFonts w:eastAsia="SimSun"/>
          <w:b/>
          <w:sz w:val="24"/>
        </w:rPr>
        <w:tab/>
      </w:r>
      <w:r w:rsidR="00F92905" w:rsidRPr="00F92905">
        <w:rPr>
          <w:rFonts w:eastAsia="SimSun"/>
          <w:b/>
          <w:sz w:val="24"/>
        </w:rPr>
        <w:tab/>
      </w:r>
      <w:r w:rsidR="00F92905" w:rsidRPr="00F92905">
        <w:rPr>
          <w:rFonts w:eastAsia="SimSun"/>
          <w:b/>
          <w:sz w:val="24"/>
        </w:rPr>
        <w:tab/>
        <w:t xml:space="preserve">   </w:t>
      </w:r>
      <w:r>
        <w:rPr>
          <w:rFonts w:eastAsia="SimSun"/>
          <w:b/>
          <w:sz w:val="24"/>
        </w:rPr>
        <w:t xml:space="preserve">    </w:t>
      </w:r>
      <w:r w:rsidR="00503A09" w:rsidRPr="00503A09">
        <w:rPr>
          <w:rFonts w:eastAsia="SimSun"/>
          <w:b/>
          <w:sz w:val="24"/>
        </w:rPr>
        <w:t>R1-1716476</w:t>
      </w:r>
    </w:p>
    <w:p w14:paraId="36A6CAC4" w14:textId="0F91F9B2" w:rsidR="00F92905" w:rsidRPr="00F92905" w:rsidRDefault="00F92905" w:rsidP="00F92905">
      <w:pPr>
        <w:tabs>
          <w:tab w:val="left" w:pos="1980"/>
        </w:tabs>
        <w:rPr>
          <w:rFonts w:eastAsia="SimSun"/>
          <w:b/>
          <w:sz w:val="24"/>
        </w:rPr>
      </w:pPr>
      <w:r w:rsidRPr="00F92905">
        <w:rPr>
          <w:rFonts w:eastAsia="SimSun"/>
          <w:b/>
          <w:sz w:val="24"/>
        </w:rPr>
        <w:t>Nagoya, Japan, 18</w:t>
      </w:r>
      <w:r w:rsidR="00817570" w:rsidRPr="00817570">
        <w:rPr>
          <w:rFonts w:eastAsia="SimSun"/>
          <w:b/>
          <w:sz w:val="24"/>
          <w:vertAlign w:val="superscript"/>
        </w:rPr>
        <w:t>th</w:t>
      </w:r>
      <w:r w:rsidR="00817570">
        <w:rPr>
          <w:rFonts w:eastAsia="SimSun"/>
          <w:b/>
          <w:sz w:val="24"/>
        </w:rPr>
        <w:t xml:space="preserve"> </w:t>
      </w:r>
      <w:r w:rsidR="00315D13">
        <w:rPr>
          <w:rFonts w:eastAsia="SimSun"/>
          <w:b/>
          <w:sz w:val="24"/>
        </w:rPr>
        <w:t>–</w:t>
      </w:r>
      <w:r w:rsidRPr="00F92905">
        <w:rPr>
          <w:rFonts w:eastAsia="SimSun"/>
          <w:b/>
          <w:sz w:val="24"/>
        </w:rPr>
        <w:t xml:space="preserve"> 21</w:t>
      </w:r>
      <w:r w:rsidR="00315D13" w:rsidRPr="00315D13">
        <w:rPr>
          <w:rFonts w:eastAsia="SimSun"/>
          <w:b/>
          <w:sz w:val="24"/>
          <w:vertAlign w:val="superscript"/>
        </w:rPr>
        <w:t>st</w:t>
      </w:r>
      <w:r w:rsidR="00315D13">
        <w:rPr>
          <w:rFonts w:eastAsia="SimSun"/>
          <w:b/>
          <w:sz w:val="24"/>
        </w:rPr>
        <w:t xml:space="preserve"> </w:t>
      </w:r>
      <w:r w:rsidRPr="00F92905">
        <w:rPr>
          <w:rFonts w:eastAsia="SimSun"/>
          <w:b/>
          <w:sz w:val="24"/>
        </w:rPr>
        <w:t>September 2017</w:t>
      </w:r>
    </w:p>
    <w:p w14:paraId="0AF63363" w14:textId="77777777" w:rsidR="00293390" w:rsidRPr="00564F9F" w:rsidRDefault="00293390" w:rsidP="00293390">
      <w:pPr>
        <w:pStyle w:val="CRCoverPage"/>
        <w:tabs>
          <w:tab w:val="left" w:pos="1980"/>
        </w:tabs>
        <w:jc w:val="both"/>
        <w:rPr>
          <w:rFonts w:ascii="Times New Roman" w:hAnsi="Times New Roman"/>
          <w:b/>
          <w:bCs/>
          <w:sz w:val="24"/>
          <w:lang w:val="en-US"/>
        </w:rPr>
      </w:pPr>
    </w:p>
    <w:p w14:paraId="6FA141D4" w14:textId="732C6774" w:rsidR="00FA20F7" w:rsidRPr="00564F9F" w:rsidRDefault="00FA20F7" w:rsidP="00FC6469">
      <w:pPr>
        <w:pStyle w:val="CRCoverPage"/>
        <w:tabs>
          <w:tab w:val="left" w:pos="1980"/>
        </w:tabs>
        <w:jc w:val="both"/>
        <w:rPr>
          <w:rFonts w:ascii="Times New Roman" w:hAnsi="Times New Roman"/>
          <w:b/>
          <w:bCs/>
          <w:sz w:val="24"/>
          <w:lang w:val="en-US" w:eastAsia="ja-JP"/>
        </w:rPr>
      </w:pPr>
      <w:r w:rsidRPr="00564F9F">
        <w:rPr>
          <w:rFonts w:ascii="Times New Roman" w:hAnsi="Times New Roman"/>
          <w:b/>
          <w:bCs/>
          <w:sz w:val="24"/>
          <w:lang w:val="en-US"/>
        </w:rPr>
        <w:t>Agenda Item:</w:t>
      </w:r>
      <w:r w:rsidRPr="00564F9F">
        <w:rPr>
          <w:rFonts w:ascii="Times New Roman" w:hAnsi="Times New Roman"/>
          <w:b/>
          <w:bCs/>
          <w:sz w:val="24"/>
          <w:lang w:val="en-US"/>
        </w:rPr>
        <w:tab/>
      </w:r>
      <w:r w:rsidR="009C6EB9">
        <w:rPr>
          <w:rFonts w:ascii="Times New Roman" w:hAnsi="Times New Roman"/>
          <w:b/>
          <w:bCs/>
          <w:sz w:val="24"/>
          <w:lang w:val="en-US"/>
        </w:rPr>
        <w:t>6</w:t>
      </w:r>
      <w:r w:rsidR="005D69BE" w:rsidRPr="00564F9F">
        <w:rPr>
          <w:rFonts w:ascii="Times New Roman" w:hAnsi="Times New Roman"/>
          <w:b/>
          <w:bCs/>
          <w:sz w:val="24"/>
          <w:lang w:val="en-US"/>
        </w:rPr>
        <w:t>.</w:t>
      </w:r>
      <w:r w:rsidR="00503961" w:rsidRPr="00564F9F">
        <w:rPr>
          <w:rFonts w:ascii="Times New Roman" w:hAnsi="Times New Roman"/>
          <w:b/>
          <w:bCs/>
          <w:sz w:val="24"/>
          <w:lang w:val="en-US"/>
        </w:rPr>
        <w:t>3</w:t>
      </w:r>
      <w:r w:rsidR="005D69BE" w:rsidRPr="00564F9F">
        <w:rPr>
          <w:rFonts w:ascii="Times New Roman" w:hAnsi="Times New Roman"/>
          <w:b/>
          <w:bCs/>
          <w:sz w:val="24"/>
          <w:lang w:val="en-US"/>
        </w:rPr>
        <w:t>.</w:t>
      </w:r>
      <w:r w:rsidR="00F92905">
        <w:rPr>
          <w:rFonts w:ascii="Times New Roman" w:hAnsi="Times New Roman"/>
          <w:b/>
          <w:bCs/>
          <w:sz w:val="24"/>
          <w:lang w:val="en-US"/>
        </w:rPr>
        <w:t>1.4</w:t>
      </w:r>
    </w:p>
    <w:p w14:paraId="186753AF" w14:textId="5C16081D" w:rsidR="00FA20F7" w:rsidRPr="00564F9F" w:rsidRDefault="0092027E" w:rsidP="00FA20F7">
      <w:pPr>
        <w:tabs>
          <w:tab w:val="left" w:pos="1985"/>
        </w:tabs>
        <w:rPr>
          <w:b/>
          <w:bCs/>
          <w:sz w:val="24"/>
        </w:rPr>
      </w:pPr>
      <w:r w:rsidRPr="00564F9F">
        <w:rPr>
          <w:b/>
          <w:bCs/>
          <w:sz w:val="24"/>
        </w:rPr>
        <w:t>Source:</w:t>
      </w:r>
      <w:r w:rsidRPr="00564F9F">
        <w:rPr>
          <w:b/>
          <w:bCs/>
          <w:sz w:val="24"/>
        </w:rPr>
        <w:tab/>
        <w:t>InterDigital</w:t>
      </w:r>
      <w:r w:rsidR="00E17A3B" w:rsidRPr="00564F9F">
        <w:rPr>
          <w:b/>
          <w:bCs/>
          <w:sz w:val="24"/>
        </w:rPr>
        <w:t xml:space="preserve"> </w:t>
      </w:r>
      <w:r w:rsidR="00564F9F">
        <w:rPr>
          <w:b/>
          <w:bCs/>
          <w:sz w:val="24"/>
        </w:rPr>
        <w:t>Inc.</w:t>
      </w:r>
    </w:p>
    <w:p w14:paraId="4F02292E" w14:textId="7FEAEA22" w:rsidR="00FA20F7" w:rsidRPr="00564F9F" w:rsidRDefault="00FA20F7" w:rsidP="00FA20F7">
      <w:pPr>
        <w:ind w:left="1985" w:hanging="1985"/>
        <w:rPr>
          <w:b/>
          <w:bCs/>
        </w:rPr>
      </w:pPr>
      <w:r w:rsidRPr="00564F9F">
        <w:rPr>
          <w:b/>
          <w:bCs/>
          <w:sz w:val="24"/>
        </w:rPr>
        <w:t>Title:</w:t>
      </w:r>
      <w:r w:rsidRPr="00564F9F">
        <w:rPr>
          <w:b/>
          <w:bCs/>
          <w:sz w:val="24"/>
        </w:rPr>
        <w:tab/>
      </w:r>
      <w:r w:rsidR="0087229F" w:rsidRPr="00564F9F">
        <w:rPr>
          <w:b/>
          <w:bCs/>
          <w:sz w:val="24"/>
        </w:rPr>
        <w:t>On</w:t>
      </w:r>
      <w:r w:rsidR="000D503F" w:rsidRPr="00564F9F">
        <w:rPr>
          <w:b/>
          <w:bCs/>
          <w:sz w:val="24"/>
        </w:rPr>
        <w:t xml:space="preserve"> </w:t>
      </w:r>
      <w:r w:rsidR="009C6EB9">
        <w:rPr>
          <w:b/>
          <w:bCs/>
          <w:sz w:val="24"/>
        </w:rPr>
        <w:t>group-common PDCCH structure</w:t>
      </w:r>
      <w:r w:rsidR="00944521">
        <w:rPr>
          <w:b/>
          <w:bCs/>
          <w:sz w:val="24"/>
        </w:rPr>
        <w:t xml:space="preserve"> and content</w:t>
      </w:r>
    </w:p>
    <w:p w14:paraId="7931F0A5" w14:textId="67E6575A" w:rsidR="00A0293F" w:rsidRPr="00564F9F" w:rsidRDefault="00A51E32" w:rsidP="00FA20F7">
      <w:pPr>
        <w:ind w:left="1985" w:hanging="1985"/>
        <w:rPr>
          <w:b/>
          <w:bCs/>
          <w:sz w:val="24"/>
        </w:rPr>
      </w:pPr>
      <w:r w:rsidRPr="00564F9F">
        <w:rPr>
          <w:b/>
          <w:bCs/>
          <w:sz w:val="24"/>
        </w:rPr>
        <w:t>Document for:</w:t>
      </w:r>
      <w:r w:rsidRPr="00564F9F">
        <w:rPr>
          <w:b/>
          <w:bCs/>
          <w:sz w:val="24"/>
        </w:rPr>
        <w:tab/>
        <w:t>Discussion</w:t>
      </w:r>
      <w:r w:rsidR="00CD15BB" w:rsidRPr="00564F9F">
        <w:rPr>
          <w:b/>
          <w:bCs/>
          <w:sz w:val="24"/>
        </w:rPr>
        <w:t xml:space="preserve"> and Decision</w:t>
      </w:r>
    </w:p>
    <w:p w14:paraId="45A92109" w14:textId="77777777" w:rsidR="00261A3A" w:rsidRPr="00A33696" w:rsidRDefault="00A35469" w:rsidP="00C34D28">
      <w:pPr>
        <w:pStyle w:val="Heading1"/>
        <w:rPr>
          <w:rFonts w:ascii="Times New Roman" w:hAnsi="Times New Roman"/>
          <w:b/>
          <w:sz w:val="32"/>
          <w:szCs w:val="32"/>
        </w:rPr>
      </w:pPr>
      <w:r w:rsidRPr="00A33696">
        <w:rPr>
          <w:rFonts w:ascii="Times New Roman" w:hAnsi="Times New Roman"/>
          <w:b/>
          <w:sz w:val="32"/>
          <w:szCs w:val="32"/>
        </w:rPr>
        <w:t>Introduction</w:t>
      </w:r>
    </w:p>
    <w:p w14:paraId="74DD5060" w14:textId="399416C8" w:rsidR="004555E3" w:rsidRDefault="00DD08C3" w:rsidP="004555E3">
      <w:r w:rsidRPr="00AA3833">
        <w:t>In RAN1</w:t>
      </w:r>
      <w:r>
        <w:t xml:space="preserve"> </w:t>
      </w:r>
      <w:r w:rsidRPr="003D17ED">
        <w:t xml:space="preserve">NR Ad-Hoc#2 </w:t>
      </w:r>
      <w:r w:rsidRPr="00AA3833">
        <w:t xml:space="preserve">Meeting </w:t>
      </w:r>
      <w:r w:rsidRPr="00AA3833">
        <w:fldChar w:fldCharType="begin"/>
      </w:r>
      <w:r w:rsidRPr="00AA3833">
        <w:instrText xml:space="preserve"> REF _Ref455734493 \r \h </w:instrText>
      </w:r>
      <w:r>
        <w:instrText xml:space="preserve"> \* MERGEFORMAT </w:instrText>
      </w:r>
      <w:r w:rsidRPr="00AA3833">
        <w:fldChar w:fldCharType="separate"/>
      </w:r>
      <w:r w:rsidRPr="00AA3833">
        <w:t>[1]</w:t>
      </w:r>
      <w:r w:rsidRPr="00AA3833">
        <w:fldChar w:fldCharType="end"/>
      </w:r>
      <w:r w:rsidRPr="00AA3833">
        <w:t xml:space="preserve">, </w:t>
      </w:r>
      <w:r>
        <w:t xml:space="preserve">there were agreements </w:t>
      </w:r>
      <w:r w:rsidR="00933F7A">
        <w:t>related to the contents of the</w:t>
      </w:r>
      <w:r w:rsidR="00933F7A" w:rsidRPr="00BD65E3">
        <w:t xml:space="preserve"> group-common PDCCH</w:t>
      </w:r>
      <w:r w:rsidR="00933F7A">
        <w:t xml:space="preserve"> were reached and also agreements that may impact the structure of </w:t>
      </w:r>
      <w:r w:rsidR="00933F7A" w:rsidRPr="00564F9F">
        <w:t>group-commo</w:t>
      </w:r>
      <w:r w:rsidR="00933F7A">
        <w:t>n PDCCH</w:t>
      </w:r>
      <w:r w:rsidR="00933F7A" w:rsidRPr="00564F9F">
        <w:t>.</w:t>
      </w:r>
      <w:r w:rsidR="00F3414F" w:rsidRPr="00564F9F">
        <w:t xml:space="preserve"> </w:t>
      </w:r>
    </w:p>
    <w:p w14:paraId="56EDFFE5" w14:textId="77777777" w:rsidR="00AA5EA7" w:rsidRDefault="00AA5EA7" w:rsidP="00AA5EA7">
      <w:pPr>
        <w:rPr>
          <w:rFonts w:eastAsia="MS Mincho"/>
          <w:b/>
          <w:u w:val="single"/>
          <w:lang w:eastAsia="ja-JP"/>
        </w:rPr>
      </w:pPr>
      <w:r w:rsidRPr="00C614BB">
        <w:rPr>
          <w:rFonts w:eastAsia="MS Mincho" w:hint="eastAsia"/>
          <w:b/>
          <w:highlight w:val="green"/>
          <w:u w:val="single"/>
          <w:lang w:eastAsia="ja-JP"/>
        </w:rPr>
        <w:t>A</w:t>
      </w:r>
      <w:r>
        <w:rPr>
          <w:rFonts w:eastAsia="MS Mincho" w:hint="eastAsia"/>
          <w:b/>
          <w:highlight w:val="green"/>
          <w:u w:val="single"/>
          <w:lang w:eastAsia="ja-JP"/>
        </w:rPr>
        <w:t>gr</w:t>
      </w:r>
      <w:r w:rsidRPr="00C614BB">
        <w:rPr>
          <w:rFonts w:eastAsia="MS Mincho" w:hint="eastAsia"/>
          <w:b/>
          <w:highlight w:val="green"/>
          <w:u w:val="single"/>
          <w:lang w:eastAsia="ja-JP"/>
        </w:rPr>
        <w:t>eements:</w:t>
      </w:r>
    </w:p>
    <w:p w14:paraId="037ECC29" w14:textId="77777777" w:rsidR="00AA5EA7" w:rsidRPr="007A7348" w:rsidRDefault="00AA5EA7" w:rsidP="00AA5EA7">
      <w:pPr>
        <w:numPr>
          <w:ilvl w:val="0"/>
          <w:numId w:val="32"/>
        </w:numPr>
        <w:spacing w:after="0"/>
        <w:rPr>
          <w:rFonts w:eastAsia="MS Mincho"/>
          <w:i/>
          <w:lang w:eastAsia="ja-JP"/>
        </w:rPr>
      </w:pPr>
      <w:r w:rsidRPr="007A7348">
        <w:rPr>
          <w:rFonts w:eastAsia="MS Mincho"/>
          <w:i/>
          <w:lang w:eastAsia="ja-JP"/>
        </w:rPr>
        <w:t>In ‘Slot format related information’, ‘Empty’ is not indicated explicitly.</w:t>
      </w:r>
    </w:p>
    <w:p w14:paraId="326AFDD0" w14:textId="77777777" w:rsidR="00AA5EA7" w:rsidRPr="007A7348" w:rsidRDefault="00AA5EA7" w:rsidP="00AA5EA7">
      <w:pPr>
        <w:numPr>
          <w:ilvl w:val="0"/>
          <w:numId w:val="32"/>
        </w:numPr>
        <w:spacing w:after="0"/>
        <w:rPr>
          <w:rFonts w:eastAsia="MS Mincho"/>
          <w:i/>
          <w:lang w:eastAsia="ja-JP"/>
        </w:rPr>
      </w:pPr>
      <w:r w:rsidRPr="007A7348">
        <w:rPr>
          <w:rFonts w:eastAsia="MS Mincho"/>
          <w:i/>
          <w:lang w:eastAsia="ja-JP"/>
        </w:rPr>
        <w:t>Note: RAN1 specification ensures that UE(s) is/are aware of which resources can be for ‘gap for DL-UL switching’ and/or ‘gap’</w:t>
      </w:r>
    </w:p>
    <w:p w14:paraId="4D97E1E3" w14:textId="77777777" w:rsidR="00AA5EA7" w:rsidRPr="007A7348" w:rsidRDefault="00AA5EA7" w:rsidP="00AA5EA7">
      <w:pPr>
        <w:numPr>
          <w:ilvl w:val="0"/>
          <w:numId w:val="32"/>
        </w:numPr>
        <w:spacing w:after="0"/>
        <w:rPr>
          <w:rFonts w:eastAsia="MS Mincho"/>
          <w:i/>
          <w:lang w:eastAsia="ja-JP"/>
        </w:rPr>
      </w:pPr>
      <w:r w:rsidRPr="007A7348">
        <w:rPr>
          <w:rFonts w:eastAsia="MS Mincho"/>
          <w:i/>
          <w:lang w:eastAsia="ja-JP"/>
        </w:rPr>
        <w:t>Note: RAN1 specification ensures that UE(s) is/are aware of which resources are for ‘CSI/interference measurement’.</w:t>
      </w:r>
    </w:p>
    <w:p w14:paraId="56C1ACB0" w14:textId="77777777" w:rsidR="00AA5EA7" w:rsidRPr="00FC3853" w:rsidRDefault="00AA5EA7" w:rsidP="00AA5EA7">
      <w:pPr>
        <w:rPr>
          <w:rFonts w:eastAsia="MS Mincho"/>
          <w:b/>
          <w:u w:val="single"/>
          <w:lang w:eastAsia="ja-JP"/>
        </w:rPr>
      </w:pPr>
      <w:r w:rsidRPr="00C614BB">
        <w:rPr>
          <w:rFonts w:eastAsia="MS Mincho" w:hint="eastAsia"/>
          <w:b/>
          <w:highlight w:val="green"/>
          <w:u w:val="single"/>
          <w:lang w:eastAsia="ja-JP"/>
        </w:rPr>
        <w:t>A</w:t>
      </w:r>
      <w:r>
        <w:rPr>
          <w:rFonts w:eastAsia="MS Mincho" w:hint="eastAsia"/>
          <w:b/>
          <w:highlight w:val="green"/>
          <w:u w:val="single"/>
          <w:lang w:eastAsia="ja-JP"/>
        </w:rPr>
        <w:t>gr</w:t>
      </w:r>
      <w:r w:rsidRPr="00C614BB">
        <w:rPr>
          <w:rFonts w:eastAsia="MS Mincho" w:hint="eastAsia"/>
          <w:b/>
          <w:highlight w:val="green"/>
          <w:u w:val="single"/>
          <w:lang w:eastAsia="ja-JP"/>
        </w:rPr>
        <w:t>eements:</w:t>
      </w:r>
    </w:p>
    <w:p w14:paraId="5F0AB301" w14:textId="77777777" w:rsidR="00AA5EA7" w:rsidRPr="007A7348" w:rsidRDefault="00AA5EA7" w:rsidP="00AA5EA7">
      <w:pPr>
        <w:numPr>
          <w:ilvl w:val="0"/>
          <w:numId w:val="33"/>
        </w:numPr>
        <w:spacing w:after="0"/>
        <w:rPr>
          <w:rFonts w:eastAsia="MS Mincho"/>
          <w:i/>
          <w:lang w:eastAsia="ja-JP"/>
        </w:rPr>
      </w:pPr>
      <w:r w:rsidRPr="007A7348">
        <w:rPr>
          <w:rFonts w:eastAsia="MS Mincho"/>
          <w:i/>
          <w:lang w:eastAsia="ja-JP"/>
        </w:rPr>
        <w:t>Prioritize discussion of SFI functionality of a group-common PDCCH.</w:t>
      </w:r>
    </w:p>
    <w:p w14:paraId="013ADA8A" w14:textId="1A7A4983" w:rsidR="00AA5EA7" w:rsidRPr="007A7348" w:rsidRDefault="00AA5EA7" w:rsidP="004555E3">
      <w:pPr>
        <w:numPr>
          <w:ilvl w:val="1"/>
          <w:numId w:val="33"/>
        </w:numPr>
        <w:spacing w:after="0"/>
        <w:rPr>
          <w:rFonts w:eastAsia="MS Mincho"/>
          <w:i/>
          <w:lang w:eastAsia="ja-JP"/>
        </w:rPr>
      </w:pPr>
      <w:r w:rsidRPr="007A7348">
        <w:rPr>
          <w:rFonts w:eastAsia="MS Mincho"/>
          <w:i/>
          <w:lang w:eastAsia="ja-JP"/>
        </w:rPr>
        <w:t>Further work will be on group-common PDCCH carrying the SFI at least in August meeting.</w:t>
      </w:r>
    </w:p>
    <w:p w14:paraId="1123F2FC" w14:textId="77777777" w:rsidR="00DD08C3" w:rsidRDefault="00DD08C3" w:rsidP="00DD08C3">
      <w:pPr>
        <w:rPr>
          <w:rFonts w:eastAsia="MS Mincho"/>
          <w:b/>
          <w:u w:val="single"/>
          <w:lang w:eastAsia="ja-JP"/>
        </w:rPr>
      </w:pPr>
      <w:r w:rsidRPr="00C614BB">
        <w:rPr>
          <w:rFonts w:eastAsia="MS Mincho" w:hint="eastAsia"/>
          <w:b/>
          <w:highlight w:val="green"/>
          <w:u w:val="single"/>
          <w:lang w:eastAsia="ja-JP"/>
        </w:rPr>
        <w:t>A</w:t>
      </w:r>
      <w:r>
        <w:rPr>
          <w:rFonts w:eastAsia="MS Mincho" w:hint="eastAsia"/>
          <w:b/>
          <w:highlight w:val="green"/>
          <w:u w:val="single"/>
          <w:lang w:eastAsia="ja-JP"/>
        </w:rPr>
        <w:t>gr</w:t>
      </w:r>
      <w:r w:rsidRPr="00C614BB">
        <w:rPr>
          <w:rFonts w:eastAsia="MS Mincho" w:hint="eastAsia"/>
          <w:b/>
          <w:highlight w:val="green"/>
          <w:u w:val="single"/>
          <w:lang w:eastAsia="ja-JP"/>
        </w:rPr>
        <w:t>eements:</w:t>
      </w:r>
    </w:p>
    <w:p w14:paraId="2B2D716F" w14:textId="77777777" w:rsidR="00DD08C3" w:rsidRPr="007A7348" w:rsidRDefault="00DD08C3" w:rsidP="00DD08C3">
      <w:pPr>
        <w:numPr>
          <w:ilvl w:val="0"/>
          <w:numId w:val="30"/>
        </w:numPr>
        <w:spacing w:after="0"/>
        <w:rPr>
          <w:rFonts w:eastAsia="MS Mincho"/>
          <w:i/>
          <w:lang w:eastAsia="ja-JP"/>
        </w:rPr>
      </w:pPr>
      <w:r w:rsidRPr="007A7348">
        <w:rPr>
          <w:rFonts w:eastAsia="MS Mincho"/>
          <w:i/>
          <w:lang w:eastAsia="ja-JP"/>
        </w:rPr>
        <w:t>UE is configured with a CORESET to monitor group-common PDCCH.</w:t>
      </w:r>
    </w:p>
    <w:p w14:paraId="09657888" w14:textId="77777777" w:rsidR="00DD08C3" w:rsidRPr="007A7348" w:rsidRDefault="00DD08C3" w:rsidP="00DD08C3">
      <w:pPr>
        <w:numPr>
          <w:ilvl w:val="1"/>
          <w:numId w:val="30"/>
        </w:numPr>
        <w:spacing w:after="0"/>
        <w:rPr>
          <w:rFonts w:eastAsia="MS Mincho"/>
          <w:i/>
          <w:lang w:eastAsia="ja-JP"/>
        </w:rPr>
      </w:pPr>
      <w:r w:rsidRPr="007A7348">
        <w:rPr>
          <w:rFonts w:eastAsia="MS Mincho"/>
          <w:i/>
          <w:lang w:eastAsia="ja-JP"/>
        </w:rPr>
        <w:t>When configured, the g</w:t>
      </w:r>
      <w:r w:rsidRPr="007A7348">
        <w:rPr>
          <w:rFonts w:eastAsia="MS Mincho" w:hint="eastAsia"/>
          <w:i/>
          <w:lang w:eastAsia="ja-JP"/>
        </w:rPr>
        <w:t xml:space="preserve">roup-common PDCCH </w:t>
      </w:r>
      <w:r w:rsidRPr="007A7348">
        <w:rPr>
          <w:rFonts w:eastAsia="MS Mincho"/>
          <w:i/>
          <w:lang w:eastAsia="ja-JP"/>
        </w:rPr>
        <w:t>follows the same CORESET configuration (e.g., REG-to-CCE mapping) of the CORESET.</w:t>
      </w:r>
    </w:p>
    <w:p w14:paraId="14CDBEA5" w14:textId="77777777" w:rsidR="00DD08C3" w:rsidRPr="007A7348" w:rsidRDefault="00DD08C3" w:rsidP="00DD08C3">
      <w:pPr>
        <w:numPr>
          <w:ilvl w:val="2"/>
          <w:numId w:val="30"/>
        </w:numPr>
        <w:spacing w:after="0"/>
        <w:rPr>
          <w:rFonts w:eastAsia="MS Mincho"/>
          <w:i/>
          <w:lang w:eastAsia="ja-JP"/>
        </w:rPr>
      </w:pPr>
      <w:r w:rsidRPr="007A7348">
        <w:rPr>
          <w:rFonts w:eastAsia="MS Mincho"/>
          <w:i/>
          <w:lang w:eastAsia="ja-JP"/>
        </w:rPr>
        <w:t>A group-common PDCCH is formed by an integer number of CCEs.</w:t>
      </w:r>
    </w:p>
    <w:p w14:paraId="34176D20" w14:textId="77777777" w:rsidR="00DD08C3" w:rsidRPr="007A7348" w:rsidRDefault="00DD08C3" w:rsidP="00DD08C3">
      <w:pPr>
        <w:numPr>
          <w:ilvl w:val="0"/>
          <w:numId w:val="30"/>
        </w:numPr>
        <w:spacing w:after="0"/>
        <w:rPr>
          <w:rFonts w:eastAsia="MS Mincho"/>
          <w:i/>
          <w:lang w:eastAsia="ja-JP"/>
        </w:rPr>
      </w:pPr>
      <w:r w:rsidRPr="007A7348">
        <w:rPr>
          <w:rFonts w:eastAsia="MS Mincho"/>
          <w:i/>
          <w:lang w:eastAsia="ja-JP"/>
        </w:rPr>
        <w:t>The CORESET for the monitored group-common PDCCH carrying SFI can be the same or different from the CORESET for the monitored PDCCH for other types of control signalling.</w:t>
      </w:r>
    </w:p>
    <w:p w14:paraId="5E43A592" w14:textId="7A7B987A" w:rsidR="003E2E43" w:rsidRPr="003E2E43" w:rsidRDefault="003E2E43" w:rsidP="003E2E43">
      <w:r w:rsidRPr="003E2E43">
        <w:t>Also in RAN1 #89 Meeting, there were agreements about the group-common PDCCH which could potentially impact the content of the group-common PDCCH:</w:t>
      </w:r>
    </w:p>
    <w:p w14:paraId="6433B4CB" w14:textId="77777777" w:rsidR="003E2E43" w:rsidRPr="003E2E43" w:rsidRDefault="003E2E43" w:rsidP="003E2E43">
      <w:pPr>
        <w:rPr>
          <w:rFonts w:eastAsia="MS Mincho"/>
          <w:b/>
          <w:u w:val="single"/>
          <w:lang w:eastAsia="ja-JP"/>
        </w:rPr>
      </w:pPr>
      <w:r w:rsidRPr="003E2E43">
        <w:rPr>
          <w:rFonts w:eastAsia="MS Mincho"/>
          <w:b/>
          <w:highlight w:val="green"/>
          <w:u w:val="single"/>
          <w:lang w:eastAsia="ja-JP"/>
        </w:rPr>
        <w:t>Agreements:</w:t>
      </w:r>
    </w:p>
    <w:p w14:paraId="2EABB906" w14:textId="77777777" w:rsidR="003E2E43" w:rsidRPr="007A7348" w:rsidRDefault="003E2E43" w:rsidP="003E2E43">
      <w:pPr>
        <w:numPr>
          <w:ilvl w:val="0"/>
          <w:numId w:val="19"/>
        </w:numPr>
        <w:spacing w:after="0"/>
        <w:rPr>
          <w:rFonts w:eastAsia="MS Mincho"/>
          <w:i/>
          <w:lang w:eastAsia="ja-JP"/>
        </w:rPr>
      </w:pPr>
      <w:r w:rsidRPr="007A7348">
        <w:rPr>
          <w:rFonts w:eastAsia="MS Mincho"/>
          <w:i/>
          <w:lang w:eastAsia="ja-JP"/>
        </w:rPr>
        <w:t>The SFI transmitted in a group-common PDCCH can indicate the slot format related information for one or more slots</w:t>
      </w:r>
    </w:p>
    <w:p w14:paraId="0CE5D687" w14:textId="77777777" w:rsidR="003E2E43" w:rsidRPr="007A7348" w:rsidRDefault="003E2E43" w:rsidP="003E2E43">
      <w:pPr>
        <w:numPr>
          <w:ilvl w:val="1"/>
          <w:numId w:val="19"/>
        </w:numPr>
        <w:spacing w:after="0"/>
        <w:rPr>
          <w:rFonts w:eastAsia="MS Mincho"/>
          <w:i/>
          <w:lang w:eastAsia="ja-JP"/>
        </w:rPr>
      </w:pPr>
      <w:r w:rsidRPr="007A7348">
        <w:rPr>
          <w:rFonts w:eastAsia="MS Mincho"/>
          <w:i/>
          <w:lang w:eastAsia="ja-JP"/>
        </w:rPr>
        <w:t>The slot format related information informs the UEs of the number of slots and the slot format(s) related information of those slots</w:t>
      </w:r>
    </w:p>
    <w:p w14:paraId="6863A71F" w14:textId="77777777" w:rsidR="003E2E43" w:rsidRPr="007A7348" w:rsidRDefault="003E2E43" w:rsidP="003E2E43">
      <w:pPr>
        <w:numPr>
          <w:ilvl w:val="1"/>
          <w:numId w:val="19"/>
        </w:numPr>
        <w:spacing w:after="0"/>
        <w:rPr>
          <w:rFonts w:eastAsia="MS Mincho"/>
          <w:i/>
          <w:lang w:eastAsia="ja-JP"/>
        </w:rPr>
      </w:pPr>
      <w:r w:rsidRPr="007A7348">
        <w:rPr>
          <w:rFonts w:eastAsia="MS Mincho"/>
          <w:i/>
          <w:lang w:eastAsia="ja-JP"/>
        </w:rPr>
        <w:t>FFS: how to interpret the SFI when the UE is configured with multiple bandwidth parts</w:t>
      </w:r>
    </w:p>
    <w:p w14:paraId="520F454D" w14:textId="77777777" w:rsidR="003E2E43" w:rsidRPr="007A7348" w:rsidRDefault="003E2E43" w:rsidP="003E2E43">
      <w:pPr>
        <w:numPr>
          <w:ilvl w:val="1"/>
          <w:numId w:val="19"/>
        </w:numPr>
        <w:spacing w:after="0"/>
        <w:rPr>
          <w:rFonts w:eastAsia="MS Mincho"/>
          <w:i/>
          <w:lang w:eastAsia="ja-JP"/>
        </w:rPr>
      </w:pPr>
      <w:r w:rsidRPr="007A7348">
        <w:rPr>
          <w:rFonts w:eastAsia="MS Mincho"/>
          <w:i/>
          <w:lang w:eastAsia="ja-JP"/>
        </w:rPr>
        <w:t>FFS: details for UE behaviour</w:t>
      </w:r>
    </w:p>
    <w:p w14:paraId="2EE26A2C" w14:textId="77777777" w:rsidR="003E2E43" w:rsidRPr="007A7348" w:rsidRDefault="003E2E43" w:rsidP="003E2E43">
      <w:pPr>
        <w:numPr>
          <w:ilvl w:val="0"/>
          <w:numId w:val="19"/>
        </w:numPr>
        <w:spacing w:after="0"/>
        <w:rPr>
          <w:rFonts w:eastAsia="MS Mincho"/>
          <w:i/>
          <w:lang w:eastAsia="ja-JP"/>
        </w:rPr>
      </w:pPr>
      <w:r w:rsidRPr="007A7348">
        <w:rPr>
          <w:rFonts w:eastAsia="MS Mincho"/>
          <w:i/>
          <w:lang w:eastAsia="ja-JP"/>
        </w:rPr>
        <w:t>FFS: A UE may be configured to monitor for at most one group-common PDCCH carrying slot format related information (SFI) in a slot</w:t>
      </w:r>
    </w:p>
    <w:p w14:paraId="3F0FF399" w14:textId="77777777" w:rsidR="003E2E43" w:rsidRPr="003E2E43" w:rsidRDefault="003E2E43" w:rsidP="003E2E43">
      <w:pPr>
        <w:rPr>
          <w:rFonts w:eastAsia="MS Mincho"/>
          <w:color w:val="0070C0"/>
          <w:lang w:eastAsia="ja-JP"/>
        </w:rPr>
      </w:pPr>
      <w:r w:rsidRPr="003E2E43">
        <w:rPr>
          <w:rFonts w:eastAsia="MS Mincho"/>
          <w:b/>
          <w:highlight w:val="green"/>
          <w:u w:val="single"/>
          <w:lang w:eastAsia="ja-JP"/>
        </w:rPr>
        <w:t>Agreements:</w:t>
      </w:r>
    </w:p>
    <w:p w14:paraId="620117B6" w14:textId="77777777" w:rsidR="003E2E43" w:rsidRPr="007A7348" w:rsidRDefault="003E2E43" w:rsidP="003E2E43">
      <w:pPr>
        <w:numPr>
          <w:ilvl w:val="0"/>
          <w:numId w:val="21"/>
        </w:numPr>
        <w:spacing w:after="0"/>
        <w:rPr>
          <w:rFonts w:eastAsia="MS Mincho"/>
          <w:i/>
          <w:lang w:eastAsia="ja-JP"/>
        </w:rPr>
      </w:pPr>
      <w:r w:rsidRPr="007A7348">
        <w:rPr>
          <w:rFonts w:eastAsia="MS Mincho"/>
          <w:i/>
          <w:lang w:eastAsia="ja-JP"/>
        </w:rPr>
        <w:t>In ‘Slot format related information’, ‘other’ is at least:</w:t>
      </w:r>
    </w:p>
    <w:p w14:paraId="5EF786DE" w14:textId="77777777" w:rsidR="003E2E43" w:rsidRPr="007A7348" w:rsidRDefault="003E2E43" w:rsidP="003E2E43">
      <w:pPr>
        <w:numPr>
          <w:ilvl w:val="1"/>
          <w:numId w:val="21"/>
        </w:numPr>
        <w:spacing w:after="0"/>
        <w:rPr>
          <w:rFonts w:eastAsia="MS Mincho"/>
          <w:i/>
          <w:lang w:eastAsia="ja-JP"/>
        </w:rPr>
      </w:pPr>
      <w:r w:rsidRPr="007A7348">
        <w:rPr>
          <w:rFonts w:eastAsia="MS Mincho"/>
          <w:i/>
          <w:lang w:eastAsia="ja-JP"/>
        </w:rPr>
        <w:lastRenderedPageBreak/>
        <w:t>‘Unknown’</w:t>
      </w:r>
    </w:p>
    <w:p w14:paraId="58FDE61D" w14:textId="77777777" w:rsidR="003E2E43" w:rsidRPr="007A7348" w:rsidRDefault="003E2E43" w:rsidP="003E2E43">
      <w:pPr>
        <w:numPr>
          <w:ilvl w:val="2"/>
          <w:numId w:val="21"/>
        </w:numPr>
        <w:spacing w:after="0"/>
        <w:rPr>
          <w:rFonts w:eastAsia="MS Mincho"/>
          <w:i/>
          <w:lang w:eastAsia="ja-JP"/>
        </w:rPr>
      </w:pPr>
      <w:r w:rsidRPr="007A7348">
        <w:rPr>
          <w:rFonts w:eastAsia="MS Mincho"/>
          <w:i/>
          <w:lang w:eastAsia="ja-JP"/>
        </w:rPr>
        <w:t>UE shall not assume anything for the symbol with ‘Unknown’ by this information</w:t>
      </w:r>
    </w:p>
    <w:p w14:paraId="1F71BCDB" w14:textId="77777777" w:rsidR="003E2E43" w:rsidRPr="007A7348" w:rsidRDefault="003E2E43" w:rsidP="003E2E43">
      <w:pPr>
        <w:numPr>
          <w:ilvl w:val="2"/>
          <w:numId w:val="21"/>
        </w:numPr>
        <w:spacing w:after="0"/>
        <w:rPr>
          <w:rFonts w:eastAsia="MS Mincho"/>
          <w:i/>
          <w:color w:val="000000" w:themeColor="text1"/>
          <w:lang w:eastAsia="ja-JP"/>
        </w:rPr>
      </w:pPr>
      <w:r w:rsidRPr="007A7348">
        <w:rPr>
          <w:rFonts w:eastAsia="MS Mincho"/>
          <w:i/>
          <w:lang w:eastAsia="ja-JP"/>
        </w:rPr>
        <w:t xml:space="preserve">FFS: UE behavior when the UE receives the information for the symbol from SFI and broadcast DCI and/or UE-specific DCI and/or semi-static </w:t>
      </w:r>
      <w:r w:rsidRPr="007A7348">
        <w:rPr>
          <w:rFonts w:eastAsia="MS Mincho"/>
          <w:i/>
          <w:color w:val="000000" w:themeColor="text1"/>
          <w:lang w:eastAsia="ja-JP"/>
        </w:rPr>
        <w:t>signaling/configuration</w:t>
      </w:r>
    </w:p>
    <w:p w14:paraId="6966DA9F" w14:textId="77777777" w:rsidR="003E2E43" w:rsidRPr="007A7348" w:rsidRDefault="003E2E43" w:rsidP="003E2E43">
      <w:pPr>
        <w:numPr>
          <w:ilvl w:val="1"/>
          <w:numId w:val="21"/>
        </w:numPr>
        <w:spacing w:after="0"/>
        <w:rPr>
          <w:rFonts w:eastAsia="MS Mincho"/>
          <w:i/>
          <w:color w:val="000000" w:themeColor="text1"/>
          <w:lang w:eastAsia="ja-JP"/>
        </w:rPr>
      </w:pPr>
      <w:r w:rsidRPr="007A7348">
        <w:rPr>
          <w:rFonts w:eastAsia="MS Mincho"/>
          <w:i/>
          <w:color w:val="000000" w:themeColor="text1"/>
          <w:lang w:eastAsia="ja-JP"/>
        </w:rPr>
        <w:t>FFS: ‘Empty’</w:t>
      </w:r>
    </w:p>
    <w:p w14:paraId="29DE0764" w14:textId="77777777" w:rsidR="003E2E43" w:rsidRPr="007A7348" w:rsidRDefault="003E2E43" w:rsidP="003E2E43">
      <w:pPr>
        <w:numPr>
          <w:ilvl w:val="2"/>
          <w:numId w:val="21"/>
        </w:numPr>
        <w:spacing w:after="0"/>
        <w:rPr>
          <w:rFonts w:eastAsia="MS Mincho"/>
          <w:i/>
          <w:color w:val="000000" w:themeColor="text1"/>
          <w:lang w:eastAsia="ja-JP"/>
        </w:rPr>
      </w:pPr>
      <w:r w:rsidRPr="007A7348">
        <w:rPr>
          <w:rFonts w:eastAsia="MS Mincho"/>
          <w:i/>
          <w:color w:val="000000" w:themeColor="text1"/>
          <w:lang w:eastAsia="ja-JP"/>
        </w:rPr>
        <w:t>UEs can use this resource for interference measurement</w:t>
      </w:r>
    </w:p>
    <w:p w14:paraId="45CE43F2" w14:textId="77777777" w:rsidR="003E2E43" w:rsidRPr="007A7348" w:rsidRDefault="003E2E43" w:rsidP="003E2E43">
      <w:pPr>
        <w:numPr>
          <w:ilvl w:val="2"/>
          <w:numId w:val="21"/>
        </w:numPr>
        <w:spacing w:after="0"/>
        <w:rPr>
          <w:rFonts w:eastAsia="MS Mincho"/>
          <w:i/>
          <w:color w:val="000000" w:themeColor="text1"/>
          <w:lang w:eastAsia="ja-JP"/>
        </w:rPr>
      </w:pPr>
      <w:r w:rsidRPr="007A7348">
        <w:rPr>
          <w:rFonts w:eastAsia="MS Mincho"/>
          <w:i/>
          <w:color w:val="000000" w:themeColor="text1"/>
          <w:lang w:eastAsia="ja-JP"/>
        </w:rPr>
        <w:t>UE may assume there is no transmission</w:t>
      </w:r>
    </w:p>
    <w:p w14:paraId="12579F8C" w14:textId="52E75319" w:rsidR="00FA007C" w:rsidRDefault="005811CB" w:rsidP="004E1513">
      <w:r w:rsidRPr="00564F9F">
        <w:t xml:space="preserve">In this </w:t>
      </w:r>
      <w:r w:rsidR="00777C37" w:rsidRPr="00564F9F">
        <w:t>document,</w:t>
      </w:r>
      <w:r w:rsidRPr="00564F9F">
        <w:t xml:space="preserve"> we discuss </w:t>
      </w:r>
      <w:r w:rsidR="00DD08C3">
        <w:t xml:space="preserve">the </w:t>
      </w:r>
      <w:r w:rsidR="00777C37">
        <w:t>issues</w:t>
      </w:r>
      <w:r w:rsidR="00933F7A">
        <w:t xml:space="preserve"> related to the content and </w:t>
      </w:r>
      <w:r w:rsidR="00DD08C3">
        <w:t>structure of</w:t>
      </w:r>
      <w:r w:rsidR="00DA4340">
        <w:t xml:space="preserve"> </w:t>
      </w:r>
      <w:r w:rsidR="00D7307D" w:rsidRPr="00564F9F">
        <w:t>group-commo</w:t>
      </w:r>
      <w:r w:rsidR="00DD08C3">
        <w:t>n PDCCH</w:t>
      </w:r>
      <w:r w:rsidR="00E45AFC" w:rsidRPr="00564F9F">
        <w:t>.</w:t>
      </w:r>
    </w:p>
    <w:p w14:paraId="7E221BC5" w14:textId="55A96DBE" w:rsidR="00126722" w:rsidRPr="00126722" w:rsidRDefault="00126722" w:rsidP="00126722">
      <w:pPr>
        <w:keepNext/>
        <w:keepLines/>
        <w:numPr>
          <w:ilvl w:val="0"/>
          <w:numId w:val="1"/>
        </w:numPr>
        <w:pBdr>
          <w:top w:val="single" w:sz="12" w:space="5" w:color="auto"/>
        </w:pBdr>
        <w:spacing w:before="240"/>
        <w:outlineLvl w:val="0"/>
        <w:rPr>
          <w:rFonts w:eastAsia="SimSun"/>
          <w:b/>
          <w:sz w:val="32"/>
          <w:szCs w:val="32"/>
        </w:rPr>
      </w:pPr>
      <w:r>
        <w:rPr>
          <w:rFonts w:eastAsia="SimSun"/>
          <w:b/>
          <w:sz w:val="32"/>
          <w:szCs w:val="32"/>
        </w:rPr>
        <w:t>Content of group-common PDCCH</w:t>
      </w:r>
    </w:p>
    <w:p w14:paraId="7D904721" w14:textId="77777777" w:rsidR="00126722" w:rsidRPr="00126722" w:rsidRDefault="00126722" w:rsidP="00126722">
      <w:r w:rsidRPr="00126722">
        <w:t xml:space="preserve">Based on the discussion in RAN1 NR Ad-Hoc#2 meeting, it seems the majority view by the companies was to limit the group-common PDCCH to exclusively carry the SFI. Obviously, at the beginning there were diverge views among the companies on what can be transmitted on the GC-PDCCH; however, we believe in order to make progress, we should agree on this principle that the group-common PDCCH only carries the SFI and then try to focus on the SFI content. As the by-product of dedicating the GC-PDCCH for the SFI transmission, the search space design for GC-PDCCH can also be greatly simplified by limiting it to one PDCCH candidate to avoid the overhead of blind decoding. Any other common DL control information can be transmitted using the group-common DCI in PDCCH as shown in </w:t>
      </w:r>
      <w:r w:rsidRPr="00126722">
        <w:fldChar w:fldCharType="begin"/>
      </w:r>
      <w:r w:rsidRPr="00126722">
        <w:instrText xml:space="preserve"> REF _Ref490136566 \h </w:instrText>
      </w:r>
      <w:r w:rsidRPr="00126722">
        <w:fldChar w:fldCharType="separate"/>
      </w:r>
      <w:r w:rsidRPr="00126722">
        <w:t xml:space="preserve">Table </w:t>
      </w:r>
      <w:r w:rsidRPr="00126722">
        <w:rPr>
          <w:noProof/>
        </w:rPr>
        <w:t>1</w:t>
      </w:r>
      <w:r w:rsidRPr="00126722">
        <w:fldChar w:fldCharType="end"/>
      </w:r>
      <w:r w:rsidRPr="00126722">
        <w:t>. One example would be preemption indication which was agreed in RAN1 NR Ad-Hoc#2 meeting to be carried on the group-common DCI in PDCCH.</w:t>
      </w:r>
    </w:p>
    <w:p w14:paraId="2305B2DA" w14:textId="77777777" w:rsidR="00126722" w:rsidRPr="00126722" w:rsidRDefault="00126722" w:rsidP="00126722">
      <w:r w:rsidRPr="00126722">
        <w:rPr>
          <w:b/>
          <w:i/>
          <w:u w:val="single"/>
          <w:lang w:eastAsia="sv-SE"/>
        </w:rPr>
        <w:t>Proposal 1:</w:t>
      </w:r>
      <w:r w:rsidRPr="00126722">
        <w:rPr>
          <w:b/>
          <w:lang w:eastAsia="sv-SE"/>
        </w:rPr>
        <w:t xml:space="preserve"> </w:t>
      </w:r>
      <w:r w:rsidRPr="00126722">
        <w:rPr>
          <w:i/>
          <w:lang w:eastAsia="sv-SE"/>
        </w:rPr>
        <w:t>The group-common PDCCH should be dedicated to carry the SFI.</w:t>
      </w:r>
    </w:p>
    <w:p w14:paraId="2CAB2465" w14:textId="77777777" w:rsidR="00126722" w:rsidRPr="00126722" w:rsidRDefault="00126722" w:rsidP="00126722">
      <w:pPr>
        <w:spacing w:before="240" w:after="240"/>
        <w:jc w:val="center"/>
        <w:rPr>
          <w:b/>
          <w:bCs/>
        </w:rPr>
      </w:pPr>
      <w:bookmarkStart w:id="1" w:name="_Ref490136566"/>
      <w:r w:rsidRPr="00126722">
        <w:rPr>
          <w:b/>
          <w:bCs/>
        </w:rPr>
        <w:t xml:space="preserve">Table </w:t>
      </w:r>
      <w:r w:rsidRPr="00126722">
        <w:rPr>
          <w:b/>
          <w:bCs/>
        </w:rPr>
        <w:fldChar w:fldCharType="begin"/>
      </w:r>
      <w:r w:rsidRPr="00126722">
        <w:rPr>
          <w:b/>
          <w:bCs/>
        </w:rPr>
        <w:instrText xml:space="preserve"> SEQ Table \* ARABIC </w:instrText>
      </w:r>
      <w:r w:rsidRPr="00126722">
        <w:rPr>
          <w:b/>
          <w:bCs/>
        </w:rPr>
        <w:fldChar w:fldCharType="separate"/>
      </w:r>
      <w:r w:rsidRPr="00126722">
        <w:rPr>
          <w:b/>
          <w:bCs/>
          <w:noProof/>
        </w:rPr>
        <w:t>1</w:t>
      </w:r>
      <w:r w:rsidRPr="00126722">
        <w:rPr>
          <w:b/>
          <w:bCs/>
          <w:noProof/>
        </w:rPr>
        <w:fldChar w:fldCharType="end"/>
      </w:r>
      <w:bookmarkEnd w:id="1"/>
      <w:r w:rsidRPr="00126722">
        <w:rPr>
          <w:b/>
          <w:bCs/>
        </w:rPr>
        <w:t>. Example of contents for GC-PDCCH and PDCCH</w:t>
      </w:r>
    </w:p>
    <w:tbl>
      <w:tblPr>
        <w:tblStyle w:val="TableGrid"/>
        <w:tblW w:w="0" w:type="auto"/>
        <w:tblInd w:w="720" w:type="dxa"/>
        <w:tblLook w:val="04A0" w:firstRow="1" w:lastRow="0" w:firstColumn="1" w:lastColumn="0" w:noHBand="0" w:noVBand="1"/>
      </w:tblPr>
      <w:tblGrid>
        <w:gridCol w:w="3485"/>
        <w:gridCol w:w="5424"/>
      </w:tblGrid>
      <w:tr w:rsidR="00126722" w:rsidRPr="00126722" w14:paraId="086ADDA7" w14:textId="77777777" w:rsidTr="00614CE9">
        <w:tc>
          <w:tcPr>
            <w:tcW w:w="3485" w:type="dxa"/>
          </w:tcPr>
          <w:p w14:paraId="639E6377" w14:textId="77777777" w:rsidR="00126722" w:rsidRPr="00126722" w:rsidRDefault="00126722" w:rsidP="00126722">
            <w:pPr>
              <w:spacing w:after="0"/>
              <w:jc w:val="center"/>
              <w:rPr>
                <w:rFonts w:eastAsia="Calibri"/>
                <w:bCs/>
              </w:rPr>
            </w:pPr>
            <w:r w:rsidRPr="00126722">
              <w:rPr>
                <w:rFonts w:eastAsia="Calibri"/>
                <w:bCs/>
              </w:rPr>
              <w:t>Carried by Group-Common PDCCH</w:t>
            </w:r>
          </w:p>
        </w:tc>
        <w:tc>
          <w:tcPr>
            <w:tcW w:w="5424" w:type="dxa"/>
          </w:tcPr>
          <w:p w14:paraId="4E5AB1FC" w14:textId="77777777" w:rsidR="00126722" w:rsidRPr="00126722" w:rsidRDefault="00126722" w:rsidP="00126722">
            <w:pPr>
              <w:spacing w:after="0"/>
              <w:jc w:val="center"/>
              <w:rPr>
                <w:rFonts w:eastAsia="Calibri"/>
                <w:bCs/>
              </w:rPr>
            </w:pPr>
            <w:r w:rsidRPr="00126722">
              <w:rPr>
                <w:rFonts w:eastAsia="Calibri"/>
                <w:bCs/>
              </w:rPr>
              <w:t>Carried by Group-Common DCI in PDCCH</w:t>
            </w:r>
          </w:p>
        </w:tc>
      </w:tr>
      <w:tr w:rsidR="00126722" w:rsidRPr="00126722" w14:paraId="5A03AE28" w14:textId="77777777" w:rsidTr="00614CE9">
        <w:trPr>
          <w:trHeight w:val="3239"/>
        </w:trPr>
        <w:tc>
          <w:tcPr>
            <w:tcW w:w="3485" w:type="dxa"/>
          </w:tcPr>
          <w:p w14:paraId="06C5FFA0" w14:textId="77777777" w:rsidR="00126722" w:rsidRPr="00126722" w:rsidRDefault="00126722" w:rsidP="00126722">
            <w:pPr>
              <w:numPr>
                <w:ilvl w:val="0"/>
                <w:numId w:val="27"/>
              </w:numPr>
              <w:spacing w:after="0"/>
              <w:contextualSpacing/>
              <w:rPr>
                <w:rFonts w:eastAsia="Calibri"/>
                <w:bCs/>
              </w:rPr>
            </w:pPr>
            <w:r w:rsidRPr="00126722">
              <w:rPr>
                <w:rFonts w:eastAsia="Calibri"/>
                <w:bCs/>
              </w:rPr>
              <w:t>SFI</w:t>
            </w:r>
          </w:p>
          <w:p w14:paraId="74EC5A30" w14:textId="77777777" w:rsidR="00126722" w:rsidRPr="00126722" w:rsidRDefault="00126722" w:rsidP="00126722">
            <w:pPr>
              <w:spacing w:after="0"/>
              <w:ind w:left="720"/>
              <w:contextualSpacing/>
              <w:rPr>
                <w:rFonts w:eastAsia="Calibri"/>
                <w:bCs/>
              </w:rPr>
            </w:pPr>
          </w:p>
          <w:p w14:paraId="2A4CE511" w14:textId="77777777" w:rsidR="00126722" w:rsidRPr="00126722" w:rsidRDefault="00126722" w:rsidP="00126722">
            <w:pPr>
              <w:spacing w:after="0"/>
              <w:ind w:left="720"/>
              <w:rPr>
                <w:rFonts w:eastAsia="Calibri"/>
                <w:bCs/>
              </w:rPr>
            </w:pPr>
          </w:p>
        </w:tc>
        <w:tc>
          <w:tcPr>
            <w:tcW w:w="5424" w:type="dxa"/>
          </w:tcPr>
          <w:p w14:paraId="62FC79F1" w14:textId="77777777" w:rsidR="00126722" w:rsidRPr="00126722" w:rsidRDefault="00126722" w:rsidP="00126722">
            <w:pPr>
              <w:numPr>
                <w:ilvl w:val="0"/>
                <w:numId w:val="27"/>
              </w:numPr>
              <w:spacing w:after="0"/>
              <w:contextualSpacing/>
              <w:rPr>
                <w:rFonts w:eastAsia="Calibri"/>
                <w:bCs/>
              </w:rPr>
            </w:pPr>
            <w:r w:rsidRPr="00126722">
              <w:rPr>
                <w:rFonts w:eastAsia="Calibri"/>
                <w:bCs/>
              </w:rPr>
              <w:t>Paging</w:t>
            </w:r>
          </w:p>
          <w:p w14:paraId="0ADEF84F" w14:textId="77777777" w:rsidR="00126722" w:rsidRPr="00126722" w:rsidRDefault="00126722" w:rsidP="00126722">
            <w:pPr>
              <w:numPr>
                <w:ilvl w:val="0"/>
                <w:numId w:val="27"/>
              </w:numPr>
              <w:spacing w:after="0"/>
              <w:contextualSpacing/>
              <w:rPr>
                <w:rFonts w:eastAsia="Calibri"/>
                <w:bCs/>
              </w:rPr>
            </w:pPr>
            <w:r w:rsidRPr="00126722">
              <w:rPr>
                <w:rFonts w:eastAsia="Calibri"/>
                <w:bCs/>
              </w:rPr>
              <w:t>System Information</w:t>
            </w:r>
          </w:p>
          <w:p w14:paraId="26E89570" w14:textId="77777777" w:rsidR="00126722" w:rsidRPr="00126722" w:rsidRDefault="00126722" w:rsidP="00126722">
            <w:pPr>
              <w:numPr>
                <w:ilvl w:val="0"/>
                <w:numId w:val="27"/>
              </w:numPr>
              <w:spacing w:after="0"/>
              <w:contextualSpacing/>
              <w:rPr>
                <w:rFonts w:eastAsia="Calibri"/>
                <w:bCs/>
              </w:rPr>
            </w:pPr>
            <w:r w:rsidRPr="00126722">
              <w:rPr>
                <w:rFonts w:eastAsia="Calibri"/>
                <w:bCs/>
              </w:rPr>
              <w:t>Transmit Power Control (TPC) commands</w:t>
            </w:r>
          </w:p>
          <w:p w14:paraId="43B9C001" w14:textId="77777777" w:rsidR="00126722" w:rsidRPr="00126722" w:rsidRDefault="00126722" w:rsidP="00126722">
            <w:pPr>
              <w:numPr>
                <w:ilvl w:val="0"/>
                <w:numId w:val="27"/>
              </w:numPr>
              <w:spacing w:after="0"/>
              <w:contextualSpacing/>
              <w:rPr>
                <w:rFonts w:eastAsia="Calibri"/>
                <w:bCs/>
              </w:rPr>
            </w:pPr>
            <w:r w:rsidRPr="00126722">
              <w:rPr>
                <w:rFonts w:eastAsia="Calibri"/>
                <w:bCs/>
              </w:rPr>
              <w:t>Group ID: information related to the beam over which a group of UEs are scheduled to receive information</w:t>
            </w:r>
          </w:p>
          <w:p w14:paraId="4807C9CB" w14:textId="77777777" w:rsidR="00126722" w:rsidRPr="00126722" w:rsidRDefault="00126722" w:rsidP="00126722">
            <w:pPr>
              <w:numPr>
                <w:ilvl w:val="0"/>
                <w:numId w:val="27"/>
              </w:numPr>
              <w:spacing w:after="0"/>
              <w:contextualSpacing/>
              <w:rPr>
                <w:rFonts w:eastAsia="Calibri"/>
                <w:bCs/>
              </w:rPr>
            </w:pPr>
            <w:r w:rsidRPr="00126722">
              <w:rPr>
                <w:rFonts w:eastAsia="Calibri"/>
                <w:bCs/>
              </w:rPr>
              <w:t>The starting position of PDSCH in the slot</w:t>
            </w:r>
          </w:p>
          <w:p w14:paraId="6DD54C02" w14:textId="77777777" w:rsidR="00126722" w:rsidRPr="00126722" w:rsidRDefault="00126722" w:rsidP="00126722">
            <w:pPr>
              <w:numPr>
                <w:ilvl w:val="0"/>
                <w:numId w:val="27"/>
              </w:numPr>
              <w:spacing w:after="0"/>
              <w:contextualSpacing/>
              <w:rPr>
                <w:rFonts w:eastAsia="Calibri"/>
                <w:bCs/>
              </w:rPr>
            </w:pPr>
            <w:r w:rsidRPr="00126722">
              <w:rPr>
                <w:rFonts w:eastAsia="Calibri"/>
                <w:bCs/>
              </w:rPr>
              <w:t>The end position of DL Control resource set in the slot</w:t>
            </w:r>
          </w:p>
          <w:p w14:paraId="2AD1CBB5" w14:textId="77777777" w:rsidR="00126722" w:rsidRPr="00126722" w:rsidRDefault="00126722" w:rsidP="00126722">
            <w:pPr>
              <w:numPr>
                <w:ilvl w:val="0"/>
                <w:numId w:val="27"/>
              </w:numPr>
              <w:spacing w:after="0"/>
              <w:contextualSpacing/>
              <w:rPr>
                <w:rFonts w:eastAsia="Calibri"/>
                <w:bCs/>
              </w:rPr>
            </w:pPr>
            <w:r w:rsidRPr="00126722">
              <w:rPr>
                <w:rFonts w:eastAsia="Calibri"/>
                <w:bCs/>
              </w:rPr>
              <w:t>UL Scheduling Request resource configuration</w:t>
            </w:r>
          </w:p>
          <w:p w14:paraId="4D80B6A5" w14:textId="77777777" w:rsidR="00126722" w:rsidRPr="00126722" w:rsidRDefault="00126722" w:rsidP="00126722">
            <w:pPr>
              <w:numPr>
                <w:ilvl w:val="0"/>
                <w:numId w:val="27"/>
              </w:numPr>
              <w:spacing w:after="0"/>
              <w:contextualSpacing/>
              <w:rPr>
                <w:rFonts w:eastAsia="Calibri"/>
              </w:rPr>
            </w:pPr>
            <w:r w:rsidRPr="00126722">
              <w:rPr>
                <w:rFonts w:eastAsia="Calibri"/>
                <w:bCs/>
              </w:rPr>
              <w:t>Information about restricting UE-specific search space and doing blind decoding over only a subset of the UE-specific search space</w:t>
            </w:r>
          </w:p>
          <w:p w14:paraId="5DEBB440" w14:textId="77777777" w:rsidR="00126722" w:rsidRPr="00126722" w:rsidRDefault="00126722" w:rsidP="00126722">
            <w:pPr>
              <w:numPr>
                <w:ilvl w:val="0"/>
                <w:numId w:val="27"/>
              </w:numPr>
              <w:spacing w:after="0"/>
              <w:contextualSpacing/>
              <w:rPr>
                <w:rFonts w:eastAsia="Calibri"/>
                <w:bCs/>
              </w:rPr>
            </w:pPr>
            <w:r w:rsidRPr="00126722">
              <w:rPr>
                <w:rFonts w:eastAsia="Calibri"/>
                <w:bCs/>
              </w:rPr>
              <w:t>RBG size</w:t>
            </w:r>
          </w:p>
          <w:p w14:paraId="366EF310" w14:textId="77777777" w:rsidR="00126722" w:rsidRPr="00126722" w:rsidRDefault="00126722" w:rsidP="00126722">
            <w:pPr>
              <w:numPr>
                <w:ilvl w:val="0"/>
                <w:numId w:val="27"/>
              </w:numPr>
              <w:spacing w:after="0"/>
              <w:contextualSpacing/>
              <w:rPr>
                <w:rFonts w:eastAsia="Calibri"/>
                <w:bCs/>
              </w:rPr>
            </w:pPr>
            <w:r w:rsidRPr="00126722">
              <w:rPr>
                <w:rFonts w:eastAsia="Calibri"/>
                <w:bCs/>
              </w:rPr>
              <w:t>DL preemption indication for the previous slot</w:t>
            </w:r>
          </w:p>
          <w:p w14:paraId="235A4B33" w14:textId="0F705082" w:rsidR="00126722" w:rsidRPr="00126722" w:rsidRDefault="00126722" w:rsidP="00614CE9">
            <w:pPr>
              <w:numPr>
                <w:ilvl w:val="0"/>
                <w:numId w:val="27"/>
              </w:numPr>
              <w:spacing w:after="0"/>
              <w:contextualSpacing/>
              <w:rPr>
                <w:rFonts w:eastAsia="Calibri"/>
                <w:bCs/>
              </w:rPr>
            </w:pPr>
            <w:r w:rsidRPr="00126722">
              <w:rPr>
                <w:rFonts w:eastAsia="Calibri"/>
                <w:bCs/>
              </w:rPr>
              <w:t>DL Acknowledgment related to the UL data transmissions</w:t>
            </w:r>
          </w:p>
        </w:tc>
      </w:tr>
    </w:tbl>
    <w:p w14:paraId="5A3D0B12" w14:textId="77777777" w:rsidR="00126722" w:rsidRPr="00126722" w:rsidRDefault="00126722" w:rsidP="00126722"/>
    <w:p w14:paraId="72DEA9DF" w14:textId="77777777" w:rsidR="00126722" w:rsidRPr="00126722" w:rsidRDefault="00126722" w:rsidP="00126722">
      <w:r w:rsidRPr="00126722">
        <w:t xml:space="preserve">With respect to the SFI content, in our view it is important to keep the size of SFI payload relatively small to ensure reliability. Per latest agreements, ‘Empty’ is not indicated explicitly so the SFI will only indicate the information regarding ‘DL’, ‘UL’ and ‘Unknown’ </w:t>
      </w:r>
      <w:r w:rsidRPr="00126722">
        <w:rPr>
          <w:rFonts w:eastAsia="MS Mincho"/>
          <w:lang w:eastAsia="ja-JP"/>
        </w:rPr>
        <w:t>symbols for one or more slots</w:t>
      </w:r>
      <w:r w:rsidRPr="00126722">
        <w:t xml:space="preserve">. Moreover, there is a common understanding that it would also be beneficial to consider some reserved bits for </w:t>
      </w:r>
      <w:r w:rsidRPr="00126722">
        <w:lastRenderedPageBreak/>
        <w:t>future releases. Accordingly, as the next step, we may start working on a table of entries to indicate different combinations of symbol designations. As for the multiple slot indication, the current agreement doesn’t specify whether the SFI for multiple slots could be different when they are included in the same payload. We believe in order to limit the SFI content, the multiple slot indication should be used when multiple slots are using the same format. There is no need to include an aggregate of SFI values for multiple slots in one GC-PDCCH. This can be easily addressed by including the information related to the starting slot and duration over which the SFI is valid. This way the UE may even avoid SFI detection in certain slots during which it doesn’t expect any change.</w:t>
      </w:r>
    </w:p>
    <w:p w14:paraId="6327C546" w14:textId="77777777" w:rsidR="00126722" w:rsidRPr="00126722" w:rsidRDefault="00126722" w:rsidP="00126722">
      <w:pPr>
        <w:spacing w:before="240"/>
        <w:rPr>
          <w:i/>
          <w:lang w:eastAsia="sv-SE"/>
        </w:rPr>
      </w:pPr>
      <w:r w:rsidRPr="00126722">
        <w:rPr>
          <w:b/>
          <w:i/>
          <w:u w:val="single"/>
          <w:lang w:eastAsia="sv-SE"/>
        </w:rPr>
        <w:t>Proposal 2:</w:t>
      </w:r>
      <w:r w:rsidRPr="00126722">
        <w:rPr>
          <w:b/>
          <w:i/>
          <w:lang w:eastAsia="sv-SE"/>
        </w:rPr>
        <w:t xml:space="preserve"> </w:t>
      </w:r>
      <w:r w:rsidRPr="00126722">
        <w:rPr>
          <w:i/>
          <w:lang w:eastAsia="sv-SE"/>
        </w:rPr>
        <w:t xml:space="preserve">The SFI content should be limited to symbol information </w:t>
      </w:r>
      <w:r w:rsidRPr="00126722">
        <w:rPr>
          <w:rFonts w:eastAsia="MS Mincho"/>
          <w:i/>
          <w:lang w:eastAsia="ja-JP"/>
        </w:rPr>
        <w:t>for one or more slots and some reserved bits</w:t>
      </w:r>
      <w:r w:rsidRPr="00126722">
        <w:rPr>
          <w:i/>
          <w:lang w:eastAsia="sv-SE"/>
        </w:rPr>
        <w:t xml:space="preserve"> for future compatibility.</w:t>
      </w:r>
    </w:p>
    <w:p w14:paraId="07C7F29D" w14:textId="77777777" w:rsidR="00126722" w:rsidRPr="00126722" w:rsidRDefault="00126722" w:rsidP="00126722">
      <w:pPr>
        <w:spacing w:before="240"/>
        <w:rPr>
          <w:i/>
          <w:lang w:eastAsia="sv-SE"/>
        </w:rPr>
      </w:pPr>
      <w:r w:rsidRPr="00126722">
        <w:rPr>
          <w:b/>
          <w:i/>
          <w:u w:val="single"/>
          <w:lang w:eastAsia="sv-SE"/>
        </w:rPr>
        <w:t>Proposal 3:</w:t>
      </w:r>
      <w:r w:rsidRPr="00126722">
        <w:rPr>
          <w:b/>
          <w:i/>
          <w:lang w:eastAsia="sv-SE"/>
        </w:rPr>
        <w:t xml:space="preserve"> </w:t>
      </w:r>
      <w:r w:rsidRPr="00126722">
        <w:rPr>
          <w:i/>
          <w:lang w:eastAsia="sv-SE"/>
        </w:rPr>
        <w:t>The slot format related information in the SFI informs the UEs of the number of slots over which the slot format related information is valid.</w:t>
      </w:r>
    </w:p>
    <w:p w14:paraId="5B767644" w14:textId="6086B084" w:rsidR="00126C37" w:rsidRPr="00564F9F" w:rsidRDefault="00832D60" w:rsidP="00126C37">
      <w:pPr>
        <w:pStyle w:val="Heading1"/>
        <w:rPr>
          <w:rFonts w:ascii="Times New Roman" w:hAnsi="Times New Roman"/>
          <w:b/>
          <w:sz w:val="32"/>
          <w:szCs w:val="32"/>
          <w:lang w:val="en-US"/>
        </w:rPr>
      </w:pPr>
      <w:r>
        <w:rPr>
          <w:rFonts w:ascii="Times New Roman" w:hAnsi="Times New Roman"/>
          <w:b/>
          <w:szCs w:val="22"/>
        </w:rPr>
        <w:t>Structure of group-common PDCCH</w:t>
      </w:r>
      <w:r w:rsidR="00DD3D12" w:rsidRPr="00564F9F">
        <w:rPr>
          <w:rFonts w:ascii="Times New Roman" w:hAnsi="Times New Roman"/>
          <w:b/>
          <w:szCs w:val="22"/>
        </w:rPr>
        <w:t xml:space="preserve"> </w:t>
      </w:r>
    </w:p>
    <w:p w14:paraId="57C5E264" w14:textId="5FF3843A" w:rsidR="004352CF" w:rsidRDefault="004352CF" w:rsidP="00887CC8">
      <w:pPr>
        <w:spacing w:before="240"/>
      </w:pPr>
      <w:r>
        <w:t xml:space="preserve">Based on the latest agreements, </w:t>
      </w:r>
      <w:r w:rsidRPr="004352CF">
        <w:t>the group-common PDCCH follows the same CORESET configuration (e.g., REG-to-CCE mapping) of the CORESET</w:t>
      </w:r>
      <w:r>
        <w:t xml:space="preserve"> over which the </w:t>
      </w:r>
      <w:r w:rsidRPr="004352CF">
        <w:t>UE is configured to monitor group-common PDCCH</w:t>
      </w:r>
      <w:r>
        <w:t>. Since t</w:t>
      </w:r>
      <w:r w:rsidRPr="004352CF">
        <w:t xml:space="preserve">he CORESET for the monitored group-common PDCCH carrying SFI can be the same </w:t>
      </w:r>
      <w:r>
        <w:t>as</w:t>
      </w:r>
      <w:r w:rsidRPr="004352CF">
        <w:t xml:space="preserve"> the CORESET for the monitored PDCCH for other types of control signalling</w:t>
      </w:r>
      <w:r>
        <w:t xml:space="preserve">, it implies that </w:t>
      </w:r>
      <w:r w:rsidR="00330D97">
        <w:t xml:space="preserve">the </w:t>
      </w:r>
      <w:r>
        <w:t xml:space="preserve">group-common PDCCH should follow the same REG-to-CCE mapping as the normal PDCCH. The only </w:t>
      </w:r>
      <w:r w:rsidR="00C86F35">
        <w:t>remaining question</w:t>
      </w:r>
      <w:r>
        <w:t xml:space="preserve"> would be whether the group-common PDCCH sh</w:t>
      </w:r>
      <w:r w:rsidR="00C86F35">
        <w:t>all</w:t>
      </w:r>
      <w:r>
        <w:t xml:space="preserve"> use the same channel coding scheme as PDCCH.</w:t>
      </w:r>
    </w:p>
    <w:p w14:paraId="71897D36" w14:textId="455FD010" w:rsidR="001843D4" w:rsidRDefault="004352CF" w:rsidP="00887CC8">
      <w:pPr>
        <w:spacing w:before="240"/>
      </w:pPr>
      <w:r>
        <w:t>In general,</w:t>
      </w:r>
      <w:r w:rsidR="00176089">
        <w:t xml:space="preserve"> there are two </w:t>
      </w:r>
      <w:r>
        <w:t>options for channel coding for the group-common PDCCH.</w:t>
      </w:r>
      <w:r w:rsidR="00887CC8">
        <w:t xml:space="preserve"> </w:t>
      </w:r>
      <w:r w:rsidR="009363C4" w:rsidRPr="00564F9F">
        <w:t xml:space="preserve">One approach </w:t>
      </w:r>
      <w:r w:rsidR="0046612A" w:rsidRPr="00564F9F">
        <w:t xml:space="preserve">is to </w:t>
      </w:r>
      <w:r w:rsidR="00887CC8">
        <w:t>use the same</w:t>
      </w:r>
      <w:r>
        <w:t xml:space="preserve"> channel coding scheme (i.e., polar coding) as the one agreed for </w:t>
      </w:r>
      <w:r w:rsidR="00CC1AB0">
        <w:t>the generic NR-</w:t>
      </w:r>
      <w:r>
        <w:t>PDCCH</w:t>
      </w:r>
      <w:r w:rsidR="00887CC8">
        <w:t xml:space="preserve"> </w:t>
      </w:r>
      <w:r w:rsidR="00CC1AB0">
        <w:t>which</w:t>
      </w:r>
      <w:r w:rsidR="00330D97">
        <w:t xml:space="preserve"> also</w:t>
      </w:r>
      <w:r w:rsidR="00CC1AB0">
        <w:t xml:space="preserve"> includes the CRC</w:t>
      </w:r>
      <w:r w:rsidR="00887CC8">
        <w:t xml:space="preserve">. </w:t>
      </w:r>
      <w:r w:rsidR="00CC1AB0">
        <w:t xml:space="preserve">The second option would be to adopt a CRC-less channel coding scheme such as the Reed-Muller </w:t>
      </w:r>
      <w:r w:rsidR="006C0CCB">
        <w:t xml:space="preserve">channel </w:t>
      </w:r>
      <w:r w:rsidR="00CC1AB0">
        <w:t xml:space="preserve">coding scheme. </w:t>
      </w:r>
    </w:p>
    <w:p w14:paraId="20B432F6" w14:textId="5D8FA2B3" w:rsidR="00330D97" w:rsidRDefault="00CC1AB0" w:rsidP="00997652">
      <w:pPr>
        <w:spacing w:before="240"/>
      </w:pPr>
      <w:r>
        <w:t>The main</w:t>
      </w:r>
      <w:r w:rsidR="006C0CCB">
        <w:t xml:space="preserve"> advantage of the CRC-less</w:t>
      </w:r>
      <w:r w:rsidR="001843D4">
        <w:t xml:space="preserve"> scheme</w:t>
      </w:r>
      <w:r>
        <w:t xml:space="preserve"> is the potential coding gain over </w:t>
      </w:r>
      <w:r w:rsidR="001843D4">
        <w:t>its CRC-</w:t>
      </w:r>
      <w:r w:rsidR="006C0CCB">
        <w:t>based</w:t>
      </w:r>
      <w:r w:rsidR="001843D4">
        <w:t xml:space="preserve"> counterpart </w:t>
      </w:r>
      <w:r>
        <w:t xml:space="preserve">due to </w:t>
      </w:r>
      <w:r w:rsidR="00560E4C">
        <w:t>the</w:t>
      </w:r>
      <w:r>
        <w:t xml:space="preserve"> lower coding rate.</w:t>
      </w:r>
      <w:r w:rsidR="00560E4C">
        <w:t xml:space="preserve"> </w:t>
      </w:r>
      <w:r w:rsidR="00C86F35">
        <w:t>In this case, a</w:t>
      </w:r>
      <w:r w:rsidR="00330D97">
        <w:t xml:space="preserve">ny </w:t>
      </w:r>
      <w:r w:rsidR="001843D4">
        <w:t>potential</w:t>
      </w:r>
      <w:r w:rsidR="00330D97">
        <w:t xml:space="preserve"> coding gain could </w:t>
      </w:r>
      <w:r w:rsidR="001843D4">
        <w:t>directly translate into</w:t>
      </w:r>
      <w:r w:rsidR="00330D97">
        <w:t xml:space="preserve"> a more robust PDCCH detection rate for a given CCE aggregation level. </w:t>
      </w:r>
      <w:r w:rsidR="005A480E">
        <w:t>Based on the working assumptions for NR-PDCCH</w:t>
      </w:r>
      <w:r w:rsidR="00560E4C">
        <w:t xml:space="preserve">, the first approach implies </w:t>
      </w:r>
      <w:r w:rsidR="00860879">
        <w:t xml:space="preserve">that </w:t>
      </w:r>
      <w:r w:rsidR="00560E4C">
        <w:t>a</w:t>
      </w:r>
      <w:r w:rsidR="00860879">
        <w:t xml:space="preserve"> </w:t>
      </w:r>
      <w:r w:rsidR="00560E4C" w:rsidRPr="00560E4C">
        <w:t>CRC</w:t>
      </w:r>
      <w:r w:rsidR="00560E4C">
        <w:t xml:space="preserve"> </w:t>
      </w:r>
      <w:r w:rsidR="00860879">
        <w:t xml:space="preserve">of </w:t>
      </w:r>
      <w:r w:rsidR="009E4EB7">
        <w:t>24</w:t>
      </w:r>
      <w:r w:rsidR="00860879">
        <w:t xml:space="preserve">-bit </w:t>
      </w:r>
      <w:r w:rsidR="009E4EB7">
        <w:t xml:space="preserve">(21bits for error detection plus 3 bits for polar code) </w:t>
      </w:r>
      <w:r w:rsidR="00BB0D98">
        <w:t xml:space="preserve">need </w:t>
      </w:r>
      <w:r w:rsidR="00560E4C">
        <w:t>to be appended to each SFI</w:t>
      </w:r>
      <w:r w:rsidR="009E4EB7">
        <w:t xml:space="preserve"> payload which is roughly five</w:t>
      </w:r>
      <w:r w:rsidR="00BB0D98">
        <w:t xml:space="preserve"> times of a typical SFI payload</w:t>
      </w:r>
      <w:r w:rsidR="00860879">
        <w:t xml:space="preserve"> (e.g. 5 bits SFI)</w:t>
      </w:r>
      <w:r w:rsidR="00BB0D98">
        <w:t xml:space="preserve">. In other words, the coding rate of the SFI with CRC would be </w:t>
      </w:r>
      <w:r w:rsidR="009E4EB7">
        <w:t>roughly six</w:t>
      </w:r>
      <w:r w:rsidR="00BB0D98">
        <w:t xml:space="preserve"> times higher than the coding rate of the CRC-less scheme.</w:t>
      </w:r>
      <w:r w:rsidR="00330D97">
        <w:t xml:space="preserve"> </w:t>
      </w:r>
      <w:r w:rsidR="006C0CCB">
        <w:t>On the other hand</w:t>
      </w:r>
      <w:r w:rsidR="00330D97">
        <w:t>,</w:t>
      </w:r>
      <w:r w:rsidR="00204C36">
        <w:t xml:space="preserve"> the CRC based scheme</w:t>
      </w:r>
      <w:r w:rsidR="00330D97">
        <w:t xml:space="preserve"> with</w:t>
      </w:r>
      <w:r w:rsidR="009E6469">
        <w:t xml:space="preserve"> </w:t>
      </w:r>
      <w:r w:rsidR="005A480E">
        <w:t>21</w:t>
      </w:r>
      <w:r w:rsidR="009E6469">
        <w:t xml:space="preserve">-bit </w:t>
      </w:r>
      <w:r w:rsidR="00997652" w:rsidRPr="00997652">
        <w:t>error detection</w:t>
      </w:r>
      <w:r w:rsidR="00997652">
        <w:t xml:space="preserve"> </w:t>
      </w:r>
      <w:r w:rsidR="00204C36">
        <w:t>which</w:t>
      </w:r>
      <w:r w:rsidR="00EA517C">
        <w:t xml:space="preserve"> is</w:t>
      </w:r>
      <w:r w:rsidR="00204C36">
        <w:t xml:space="preserve"> </w:t>
      </w:r>
      <w:r w:rsidR="005A480E">
        <w:t>less than</w:t>
      </w:r>
      <w:r w:rsidR="009E6469">
        <w:t xml:space="preserve"> 0.00</w:t>
      </w:r>
      <w:r w:rsidR="005A480E">
        <w:t>01</w:t>
      </w:r>
      <w:r w:rsidR="009E6469">
        <w:t>% miss detection rate (i.e., t</w:t>
      </w:r>
      <w:r w:rsidR="009E6469" w:rsidRPr="009E6469">
        <w:t xml:space="preserve">he probability of misdetection of an </w:t>
      </w:r>
      <w:r w:rsidR="009E6469">
        <w:t xml:space="preserve">SFI </w:t>
      </w:r>
      <w:r w:rsidR="009E6469" w:rsidRPr="009E6469">
        <w:t>erroneous</w:t>
      </w:r>
      <w:r w:rsidR="009E6469">
        <w:t>).</w:t>
      </w:r>
      <w:r w:rsidR="00330D97">
        <w:t xml:space="preserve"> We should note that the </w:t>
      </w:r>
      <w:r w:rsidR="005E26D8" w:rsidRPr="005E26D8">
        <w:t>CRC-less</w:t>
      </w:r>
      <w:r w:rsidR="00330D97">
        <w:t xml:space="preserve"> scheme </w:t>
      </w:r>
      <w:r w:rsidR="00292A72">
        <w:t>cannot provide comparable</w:t>
      </w:r>
      <w:r w:rsidR="00330D97">
        <w:t xml:space="preserve"> error detection </w:t>
      </w:r>
      <w:r w:rsidR="00B5517B">
        <w:t>mechanism</w:t>
      </w:r>
      <w:r w:rsidR="00330D97">
        <w:t xml:space="preserve">.  </w:t>
      </w:r>
    </w:p>
    <w:p w14:paraId="62D50398" w14:textId="177928BB" w:rsidR="00212912" w:rsidRPr="00212912" w:rsidRDefault="00A84099" w:rsidP="001843D4">
      <w:pPr>
        <w:spacing w:before="240"/>
      </w:pPr>
      <w:r>
        <w:t>In the following we discuss</w:t>
      </w:r>
      <w:r w:rsidR="00F02AC0">
        <w:t xml:space="preserve"> the</w:t>
      </w:r>
      <w:r w:rsidR="00330D97">
        <w:t xml:space="preserve"> </w:t>
      </w:r>
      <w:r w:rsidR="00B5517B">
        <w:t>trade-off</w:t>
      </w:r>
      <w:r w:rsidR="00F02AC0">
        <w:t xml:space="preserve"> between the two scheme</w:t>
      </w:r>
      <w:r w:rsidR="006925CD">
        <w:t>s</w:t>
      </w:r>
      <w:r w:rsidR="00F02AC0">
        <w:t xml:space="preserve"> </w:t>
      </w:r>
      <w:r w:rsidR="00330D97">
        <w:t xml:space="preserve">from </w:t>
      </w:r>
      <w:r w:rsidR="00191071">
        <w:t xml:space="preserve">the </w:t>
      </w:r>
      <w:r w:rsidR="00330D97">
        <w:t>system perspective.</w:t>
      </w:r>
      <w:r w:rsidR="001843D4">
        <w:t xml:space="preserve"> </w:t>
      </w:r>
      <w:r>
        <w:t>First, w</w:t>
      </w:r>
      <w:r w:rsidR="00191071">
        <w:t>e should note that</w:t>
      </w:r>
      <w:r w:rsidR="001843D4">
        <w:t xml:space="preserve"> </w:t>
      </w:r>
      <w:r w:rsidR="00F02AC0">
        <w:t xml:space="preserve">a lower coding rate can </w:t>
      </w:r>
      <w:r w:rsidR="00C86F35">
        <w:t>alternatively</w:t>
      </w:r>
      <w:r w:rsidR="00F02AC0">
        <w:t xml:space="preserve"> be achieved by using the CCE aggregation (i.e., the h</w:t>
      </w:r>
      <w:r w:rsidR="001843D4">
        <w:t xml:space="preserve">igher </w:t>
      </w:r>
      <w:r w:rsidR="00F02AC0">
        <w:t xml:space="preserve">the </w:t>
      </w:r>
      <w:r w:rsidR="001843D4">
        <w:t xml:space="preserve">CCE aggregation </w:t>
      </w:r>
      <w:r w:rsidR="00F02AC0">
        <w:t>level, the</w:t>
      </w:r>
      <w:r w:rsidR="001843D4">
        <w:t xml:space="preserve"> lower </w:t>
      </w:r>
      <w:r w:rsidR="00F02AC0">
        <w:t xml:space="preserve">the </w:t>
      </w:r>
      <w:r w:rsidR="001843D4">
        <w:t>coding rate</w:t>
      </w:r>
      <w:r w:rsidR="00F02AC0">
        <w:t>)</w:t>
      </w:r>
      <w:r w:rsidR="001843D4">
        <w:t>.</w:t>
      </w:r>
      <w:r w:rsidR="00F02AC0">
        <w:t xml:space="preserve"> However, without any error detection </w:t>
      </w:r>
      <w:r w:rsidR="00B5517B">
        <w:t>mechanism</w:t>
      </w:r>
      <w:r w:rsidR="00F02AC0">
        <w:t xml:space="preserve">, the effect </w:t>
      </w:r>
      <w:r w:rsidR="00F02AC0" w:rsidRPr="00212912">
        <w:t xml:space="preserve">of misdetected SFI may result in different interpretation of the </w:t>
      </w:r>
      <w:r w:rsidR="00445416">
        <w:t>‘</w:t>
      </w:r>
      <w:r w:rsidR="00F02AC0" w:rsidRPr="00212912">
        <w:t>UL</w:t>
      </w:r>
      <w:r w:rsidR="00445416">
        <w:t>’</w:t>
      </w:r>
      <w:r w:rsidR="006925CD" w:rsidRPr="00212912">
        <w:t>,</w:t>
      </w:r>
      <w:r w:rsidR="00F02AC0" w:rsidRPr="00212912">
        <w:t xml:space="preserve"> </w:t>
      </w:r>
      <w:r w:rsidR="00445416">
        <w:t>‘</w:t>
      </w:r>
      <w:r w:rsidR="00F02AC0" w:rsidRPr="00212912">
        <w:t>DL</w:t>
      </w:r>
      <w:r w:rsidR="00445416">
        <w:t>’</w:t>
      </w:r>
      <w:r w:rsidR="00F02AC0" w:rsidRPr="00212912">
        <w:t xml:space="preserve"> </w:t>
      </w:r>
      <w:r w:rsidR="006925CD" w:rsidRPr="00212912">
        <w:t xml:space="preserve">and </w:t>
      </w:r>
      <w:r w:rsidR="00445416">
        <w:t>‘U</w:t>
      </w:r>
      <w:r w:rsidR="006925CD" w:rsidRPr="00212912">
        <w:t>nknown</w:t>
      </w:r>
      <w:r w:rsidR="00445416">
        <w:t>’</w:t>
      </w:r>
      <w:r w:rsidR="006925CD" w:rsidRPr="00212912">
        <w:t xml:space="preserve"> </w:t>
      </w:r>
      <w:r w:rsidR="00B5517B">
        <w:t>symbols by the UE wherein each situation may have a different consequence from the system perspective:</w:t>
      </w:r>
    </w:p>
    <w:p w14:paraId="6D4B8776" w14:textId="68B5C6FE" w:rsidR="00A77C04" w:rsidRDefault="00A84099" w:rsidP="00212912">
      <w:pPr>
        <w:pStyle w:val="ListParagraph"/>
        <w:numPr>
          <w:ilvl w:val="0"/>
          <w:numId w:val="31"/>
        </w:numPr>
        <w:spacing w:before="240"/>
        <w:jc w:val="both"/>
        <w:rPr>
          <w:rFonts w:ascii="Times New Roman" w:hAnsi="Times New Roman"/>
        </w:rPr>
      </w:pPr>
      <w:r>
        <w:rPr>
          <w:rFonts w:ascii="Times New Roman" w:hAnsi="Times New Roman"/>
        </w:rPr>
        <w:t>If</w:t>
      </w:r>
      <w:r w:rsidR="006925CD" w:rsidRPr="00212912">
        <w:rPr>
          <w:rFonts w:ascii="Times New Roman" w:hAnsi="Times New Roman"/>
        </w:rPr>
        <w:t xml:space="preserve"> the UE </w:t>
      </w:r>
      <w:r>
        <w:rPr>
          <w:rFonts w:ascii="Times New Roman" w:hAnsi="Times New Roman"/>
        </w:rPr>
        <w:t>misinterprets</w:t>
      </w:r>
      <w:r w:rsidR="0035614B">
        <w:rPr>
          <w:rFonts w:ascii="Times New Roman" w:hAnsi="Times New Roman"/>
        </w:rPr>
        <w:t xml:space="preserve"> a</w:t>
      </w:r>
      <w:r w:rsidR="00B81D61">
        <w:rPr>
          <w:rFonts w:ascii="Times New Roman" w:hAnsi="Times New Roman"/>
        </w:rPr>
        <w:t xml:space="preserve"> </w:t>
      </w:r>
      <w:r w:rsidR="00A77C04">
        <w:rPr>
          <w:rFonts w:ascii="Times New Roman" w:hAnsi="Times New Roman"/>
        </w:rPr>
        <w:t>‘</w:t>
      </w:r>
      <w:r w:rsidR="00B81D61">
        <w:rPr>
          <w:rFonts w:ascii="Times New Roman" w:hAnsi="Times New Roman"/>
        </w:rPr>
        <w:t>DL</w:t>
      </w:r>
      <w:r w:rsidR="00A77C04">
        <w:rPr>
          <w:rFonts w:ascii="Times New Roman" w:hAnsi="Times New Roman"/>
        </w:rPr>
        <w:t>’</w:t>
      </w:r>
      <w:r w:rsidR="00B81D61">
        <w:rPr>
          <w:rFonts w:ascii="Times New Roman" w:hAnsi="Times New Roman"/>
        </w:rPr>
        <w:t xml:space="preserve"> </w:t>
      </w:r>
      <w:r w:rsidR="00EA489D">
        <w:rPr>
          <w:rFonts w:ascii="Times New Roman" w:hAnsi="Times New Roman"/>
        </w:rPr>
        <w:t xml:space="preserve">symbol </w:t>
      </w:r>
      <w:r w:rsidR="006925CD" w:rsidRPr="00212912">
        <w:rPr>
          <w:rFonts w:ascii="Times New Roman" w:hAnsi="Times New Roman"/>
        </w:rPr>
        <w:t xml:space="preserve">as </w:t>
      </w:r>
      <w:r w:rsidR="00B81D61">
        <w:rPr>
          <w:rFonts w:ascii="Times New Roman" w:hAnsi="Times New Roman"/>
        </w:rPr>
        <w:t>an</w:t>
      </w:r>
      <w:r w:rsidR="00212912">
        <w:rPr>
          <w:rFonts w:ascii="Times New Roman" w:hAnsi="Times New Roman"/>
        </w:rPr>
        <w:t xml:space="preserve"> </w:t>
      </w:r>
      <w:r w:rsidR="00A77C04">
        <w:rPr>
          <w:rFonts w:ascii="Times New Roman" w:hAnsi="Times New Roman"/>
        </w:rPr>
        <w:t>‘</w:t>
      </w:r>
      <w:r w:rsidR="006925CD" w:rsidRPr="00212912">
        <w:rPr>
          <w:rFonts w:ascii="Times New Roman" w:hAnsi="Times New Roman"/>
        </w:rPr>
        <w:t>UL</w:t>
      </w:r>
      <w:r w:rsidR="00A77C04">
        <w:rPr>
          <w:rFonts w:ascii="Times New Roman" w:hAnsi="Times New Roman"/>
        </w:rPr>
        <w:t>’</w:t>
      </w:r>
      <w:r w:rsidR="00212912">
        <w:rPr>
          <w:rFonts w:ascii="Times New Roman" w:hAnsi="Times New Roman"/>
        </w:rPr>
        <w:t xml:space="preserve"> symbol</w:t>
      </w:r>
      <w:r w:rsidR="00A77C04">
        <w:rPr>
          <w:rFonts w:ascii="Times New Roman" w:hAnsi="Times New Roman"/>
        </w:rPr>
        <w:t>:</w:t>
      </w:r>
    </w:p>
    <w:p w14:paraId="545BEFB7" w14:textId="386C5391" w:rsidR="00212912" w:rsidRPr="00B278D7" w:rsidRDefault="00A77C04" w:rsidP="0078052A">
      <w:pPr>
        <w:pStyle w:val="ListParagraph"/>
        <w:numPr>
          <w:ilvl w:val="1"/>
          <w:numId w:val="31"/>
        </w:numPr>
        <w:spacing w:before="240"/>
        <w:jc w:val="both"/>
        <w:rPr>
          <w:rFonts w:ascii="Times New Roman" w:hAnsi="Times New Roman"/>
        </w:rPr>
      </w:pPr>
      <w:r w:rsidRPr="00B278D7">
        <w:rPr>
          <w:rFonts w:ascii="Times New Roman" w:hAnsi="Times New Roman"/>
        </w:rPr>
        <w:lastRenderedPageBreak/>
        <w:t>In case of UL transmission, the UE</w:t>
      </w:r>
      <w:r w:rsidR="006925CD" w:rsidRPr="00B278D7">
        <w:rPr>
          <w:rFonts w:ascii="Times New Roman" w:hAnsi="Times New Roman"/>
        </w:rPr>
        <w:t xml:space="preserve"> may use </w:t>
      </w:r>
      <w:r w:rsidR="00212912" w:rsidRPr="00B278D7">
        <w:rPr>
          <w:rFonts w:ascii="Times New Roman" w:hAnsi="Times New Roman"/>
        </w:rPr>
        <w:t>the symbol for UL transmission which c</w:t>
      </w:r>
      <w:r w:rsidR="006925CD" w:rsidRPr="00B278D7">
        <w:rPr>
          <w:rFonts w:ascii="Times New Roman" w:hAnsi="Times New Roman"/>
        </w:rPr>
        <w:t>ould cause interference in the DL transmissions</w:t>
      </w:r>
      <w:r w:rsidR="00212912" w:rsidRPr="00B278D7">
        <w:rPr>
          <w:rFonts w:ascii="Times New Roman" w:hAnsi="Times New Roman"/>
        </w:rPr>
        <w:t xml:space="preserve"> targeting other users</w:t>
      </w:r>
      <w:r w:rsidR="006925CD" w:rsidRPr="00B278D7">
        <w:rPr>
          <w:rFonts w:ascii="Times New Roman" w:hAnsi="Times New Roman"/>
        </w:rPr>
        <w:t xml:space="preserve">. </w:t>
      </w:r>
      <w:r w:rsidR="00B278D7" w:rsidRPr="00B278D7">
        <w:rPr>
          <w:rFonts w:ascii="Times New Roman" w:hAnsi="Times New Roman"/>
        </w:rPr>
        <w:t xml:space="preserve">In addition, the gNB fails to detect PUSCH and/or PUCCH </w:t>
      </w:r>
      <w:r w:rsidR="00B278D7">
        <w:rPr>
          <w:rFonts w:ascii="Times New Roman" w:hAnsi="Times New Roman"/>
        </w:rPr>
        <w:t>transmission(s)</w:t>
      </w:r>
      <w:r w:rsidR="00B278D7" w:rsidRPr="00B278D7">
        <w:rPr>
          <w:rFonts w:ascii="Times New Roman" w:hAnsi="Times New Roman"/>
        </w:rPr>
        <w:t xml:space="preserve"> by the UE</w:t>
      </w:r>
    </w:p>
    <w:p w14:paraId="4E8DCBF5" w14:textId="3B55793A" w:rsidR="00A77C04" w:rsidRDefault="00A77C04" w:rsidP="00A77C04">
      <w:pPr>
        <w:pStyle w:val="ListParagraph"/>
        <w:numPr>
          <w:ilvl w:val="1"/>
          <w:numId w:val="31"/>
        </w:numPr>
        <w:spacing w:before="240"/>
        <w:jc w:val="both"/>
        <w:rPr>
          <w:rFonts w:ascii="Times New Roman" w:hAnsi="Times New Roman"/>
        </w:rPr>
      </w:pPr>
      <w:r>
        <w:rPr>
          <w:rFonts w:ascii="Times New Roman" w:hAnsi="Times New Roman"/>
        </w:rPr>
        <w:t xml:space="preserve">In case of DL transmission, the UE </w:t>
      </w:r>
      <w:r w:rsidRPr="00A77C04">
        <w:rPr>
          <w:rFonts w:ascii="Times New Roman" w:hAnsi="Times New Roman"/>
        </w:rPr>
        <w:t>fail</w:t>
      </w:r>
      <w:r>
        <w:rPr>
          <w:rFonts w:ascii="Times New Roman" w:hAnsi="Times New Roman"/>
        </w:rPr>
        <w:t>s to detect its</w:t>
      </w:r>
      <w:r w:rsidRPr="00A77C04">
        <w:rPr>
          <w:rFonts w:ascii="Times New Roman" w:hAnsi="Times New Roman"/>
        </w:rPr>
        <w:t xml:space="preserve"> allocated PDSCH </w:t>
      </w:r>
    </w:p>
    <w:p w14:paraId="2989B50C" w14:textId="1693FB07" w:rsidR="00EA489D" w:rsidRDefault="00EA489D" w:rsidP="00EA489D">
      <w:pPr>
        <w:pStyle w:val="ListParagraph"/>
        <w:numPr>
          <w:ilvl w:val="0"/>
          <w:numId w:val="31"/>
        </w:numPr>
        <w:spacing w:before="240"/>
        <w:jc w:val="both"/>
        <w:rPr>
          <w:rFonts w:ascii="Times New Roman" w:hAnsi="Times New Roman"/>
        </w:rPr>
      </w:pPr>
      <w:r>
        <w:rPr>
          <w:rFonts w:ascii="Times New Roman" w:hAnsi="Times New Roman"/>
        </w:rPr>
        <w:t xml:space="preserve">If the UE misinterprets a ‘DL’ symbol as </w:t>
      </w:r>
      <w:r w:rsidR="00C45DA8">
        <w:rPr>
          <w:rFonts w:ascii="Times New Roman" w:hAnsi="Times New Roman"/>
        </w:rPr>
        <w:t xml:space="preserve">an </w:t>
      </w:r>
      <w:r>
        <w:rPr>
          <w:rFonts w:ascii="Times New Roman" w:hAnsi="Times New Roman"/>
        </w:rPr>
        <w:t>‘Unknown’ symbol</w:t>
      </w:r>
      <w:r w:rsidR="00C45DA8">
        <w:rPr>
          <w:rFonts w:ascii="Times New Roman" w:hAnsi="Times New Roman"/>
        </w:rPr>
        <w:t xml:space="preserve"> or vice versa</w:t>
      </w:r>
      <w:r>
        <w:rPr>
          <w:rFonts w:ascii="Times New Roman" w:hAnsi="Times New Roman"/>
        </w:rPr>
        <w:t>:</w:t>
      </w:r>
    </w:p>
    <w:p w14:paraId="22F35DC2" w14:textId="77777777" w:rsidR="00EA489D" w:rsidRPr="00A77C04" w:rsidRDefault="00EA489D" w:rsidP="00EA489D">
      <w:pPr>
        <w:pStyle w:val="ListParagraph"/>
        <w:numPr>
          <w:ilvl w:val="1"/>
          <w:numId w:val="31"/>
        </w:numPr>
        <w:spacing w:before="240"/>
        <w:jc w:val="both"/>
        <w:rPr>
          <w:rFonts w:ascii="Times New Roman" w:hAnsi="Times New Roman"/>
        </w:rPr>
      </w:pPr>
      <w:r w:rsidRPr="00A77C04">
        <w:rPr>
          <w:rFonts w:ascii="Times New Roman" w:hAnsi="Times New Roman"/>
        </w:rPr>
        <w:t>The UE fails to detect the allocated PDSCH targeting the UE which consequently need to be retransmitted by the gNB.</w:t>
      </w:r>
    </w:p>
    <w:p w14:paraId="3F9E205E" w14:textId="519CBC39" w:rsidR="00A77C04" w:rsidRDefault="006925CD" w:rsidP="00212912">
      <w:pPr>
        <w:pStyle w:val="ListParagraph"/>
        <w:numPr>
          <w:ilvl w:val="0"/>
          <w:numId w:val="31"/>
        </w:numPr>
        <w:spacing w:before="240"/>
        <w:jc w:val="both"/>
        <w:rPr>
          <w:rFonts w:ascii="Times New Roman" w:hAnsi="Times New Roman"/>
        </w:rPr>
      </w:pPr>
      <w:r w:rsidRPr="00212912">
        <w:rPr>
          <w:rFonts w:ascii="Times New Roman" w:hAnsi="Times New Roman"/>
        </w:rPr>
        <w:t xml:space="preserve">If the UE misinterprets </w:t>
      </w:r>
      <w:r w:rsidR="00212912">
        <w:rPr>
          <w:rFonts w:ascii="Times New Roman" w:hAnsi="Times New Roman"/>
        </w:rPr>
        <w:t xml:space="preserve">an </w:t>
      </w:r>
      <w:r w:rsidR="00A77C04">
        <w:rPr>
          <w:rFonts w:ascii="Times New Roman" w:hAnsi="Times New Roman"/>
        </w:rPr>
        <w:t>‘</w:t>
      </w:r>
      <w:r w:rsidRPr="00212912">
        <w:rPr>
          <w:rFonts w:ascii="Times New Roman" w:hAnsi="Times New Roman"/>
        </w:rPr>
        <w:t>UL</w:t>
      </w:r>
      <w:r w:rsidR="00A77C04">
        <w:rPr>
          <w:rFonts w:ascii="Times New Roman" w:hAnsi="Times New Roman"/>
        </w:rPr>
        <w:t>’</w:t>
      </w:r>
      <w:r w:rsidRPr="00212912">
        <w:rPr>
          <w:rFonts w:ascii="Times New Roman" w:hAnsi="Times New Roman"/>
        </w:rPr>
        <w:t xml:space="preserve"> symbol as </w:t>
      </w:r>
      <w:r w:rsidR="00A84099">
        <w:rPr>
          <w:rFonts w:ascii="Times New Roman" w:hAnsi="Times New Roman"/>
        </w:rPr>
        <w:t>a</w:t>
      </w:r>
      <w:r w:rsidR="00212912">
        <w:rPr>
          <w:rFonts w:ascii="Times New Roman" w:hAnsi="Times New Roman"/>
        </w:rPr>
        <w:t xml:space="preserve"> </w:t>
      </w:r>
      <w:r w:rsidR="00A77C04">
        <w:rPr>
          <w:rFonts w:ascii="Times New Roman" w:hAnsi="Times New Roman"/>
        </w:rPr>
        <w:t>‘</w:t>
      </w:r>
      <w:r w:rsidRPr="00212912">
        <w:rPr>
          <w:rFonts w:ascii="Times New Roman" w:hAnsi="Times New Roman"/>
        </w:rPr>
        <w:t>DL</w:t>
      </w:r>
      <w:r w:rsidR="00A77C04">
        <w:rPr>
          <w:rFonts w:ascii="Times New Roman" w:hAnsi="Times New Roman"/>
        </w:rPr>
        <w:t>’</w:t>
      </w:r>
      <w:r w:rsidR="00A84099">
        <w:rPr>
          <w:rFonts w:ascii="Times New Roman" w:hAnsi="Times New Roman"/>
        </w:rPr>
        <w:t xml:space="preserve"> </w:t>
      </w:r>
      <w:r w:rsidR="00212912">
        <w:rPr>
          <w:rFonts w:ascii="Times New Roman" w:hAnsi="Times New Roman"/>
        </w:rPr>
        <w:t>symbol</w:t>
      </w:r>
      <w:r w:rsidR="00A77C04">
        <w:rPr>
          <w:rFonts w:ascii="Times New Roman" w:hAnsi="Times New Roman"/>
        </w:rPr>
        <w:t>:</w:t>
      </w:r>
    </w:p>
    <w:p w14:paraId="5CDB39B9" w14:textId="692C53BD" w:rsidR="00A77C04" w:rsidRDefault="00A77C04" w:rsidP="00A77C04">
      <w:pPr>
        <w:pStyle w:val="ListParagraph"/>
        <w:numPr>
          <w:ilvl w:val="1"/>
          <w:numId w:val="31"/>
        </w:numPr>
        <w:spacing w:before="240"/>
        <w:jc w:val="both"/>
        <w:rPr>
          <w:rFonts w:ascii="Times New Roman" w:hAnsi="Times New Roman"/>
        </w:rPr>
      </w:pPr>
      <w:r>
        <w:rPr>
          <w:rFonts w:ascii="Times New Roman" w:hAnsi="Times New Roman"/>
        </w:rPr>
        <w:t xml:space="preserve">In case of UL transmission, the </w:t>
      </w:r>
      <w:r w:rsidRPr="00A77C04">
        <w:rPr>
          <w:rFonts w:ascii="Times New Roman" w:hAnsi="Times New Roman"/>
        </w:rPr>
        <w:t>gNB fail</w:t>
      </w:r>
      <w:r>
        <w:rPr>
          <w:rFonts w:ascii="Times New Roman" w:hAnsi="Times New Roman"/>
        </w:rPr>
        <w:t>s</w:t>
      </w:r>
      <w:r w:rsidRPr="00A77C04">
        <w:rPr>
          <w:rFonts w:ascii="Times New Roman" w:hAnsi="Times New Roman"/>
        </w:rPr>
        <w:t xml:space="preserve"> to detect PUSCH and/or PUCCH</w:t>
      </w:r>
      <w:r>
        <w:rPr>
          <w:rFonts w:ascii="Times New Roman" w:hAnsi="Times New Roman"/>
        </w:rPr>
        <w:t xml:space="preserve"> which </w:t>
      </w:r>
      <w:r w:rsidRPr="00A77C04">
        <w:rPr>
          <w:rFonts w:ascii="Times New Roman" w:hAnsi="Times New Roman"/>
        </w:rPr>
        <w:t>consequently need to be retransmitted by the</w:t>
      </w:r>
      <w:r>
        <w:rPr>
          <w:rFonts w:ascii="Times New Roman" w:hAnsi="Times New Roman"/>
        </w:rPr>
        <w:t xml:space="preserve"> UE</w:t>
      </w:r>
    </w:p>
    <w:p w14:paraId="18CEFAD9" w14:textId="4F4848E7" w:rsidR="001843D4" w:rsidRDefault="00A77C04" w:rsidP="00A77C04">
      <w:pPr>
        <w:pStyle w:val="ListParagraph"/>
        <w:numPr>
          <w:ilvl w:val="1"/>
          <w:numId w:val="31"/>
        </w:numPr>
        <w:spacing w:before="240"/>
        <w:jc w:val="both"/>
        <w:rPr>
          <w:rFonts w:ascii="Times New Roman" w:hAnsi="Times New Roman"/>
        </w:rPr>
      </w:pPr>
      <w:r>
        <w:rPr>
          <w:rFonts w:ascii="Times New Roman" w:hAnsi="Times New Roman"/>
        </w:rPr>
        <w:t>In case of DL transmission, the UE</w:t>
      </w:r>
      <w:r w:rsidR="006925CD" w:rsidRPr="00212912">
        <w:rPr>
          <w:rFonts w:ascii="Times New Roman" w:hAnsi="Times New Roman"/>
        </w:rPr>
        <w:t xml:space="preserve"> fail</w:t>
      </w:r>
      <w:r>
        <w:rPr>
          <w:rFonts w:ascii="Times New Roman" w:hAnsi="Times New Roman"/>
        </w:rPr>
        <w:t>s</w:t>
      </w:r>
      <w:r w:rsidR="006925CD" w:rsidRPr="00212912">
        <w:rPr>
          <w:rFonts w:ascii="Times New Roman" w:hAnsi="Times New Roman"/>
        </w:rPr>
        <w:t xml:space="preserve"> to detect the allocated PDSCH </w:t>
      </w:r>
      <w:r w:rsidR="00212912">
        <w:rPr>
          <w:rFonts w:ascii="Times New Roman" w:hAnsi="Times New Roman"/>
        </w:rPr>
        <w:t xml:space="preserve">targeting the UE </w:t>
      </w:r>
      <w:r w:rsidR="006925CD" w:rsidRPr="00212912">
        <w:rPr>
          <w:rFonts w:ascii="Times New Roman" w:hAnsi="Times New Roman"/>
        </w:rPr>
        <w:t xml:space="preserve">which </w:t>
      </w:r>
      <w:r w:rsidR="00212912" w:rsidRPr="00212912">
        <w:rPr>
          <w:rFonts w:ascii="Times New Roman" w:hAnsi="Times New Roman"/>
        </w:rPr>
        <w:t xml:space="preserve">consequently </w:t>
      </w:r>
      <w:r>
        <w:rPr>
          <w:rFonts w:ascii="Times New Roman" w:hAnsi="Times New Roman"/>
        </w:rPr>
        <w:t xml:space="preserve">need to </w:t>
      </w:r>
      <w:r w:rsidR="006925CD" w:rsidRPr="00212912">
        <w:rPr>
          <w:rFonts w:ascii="Times New Roman" w:hAnsi="Times New Roman"/>
        </w:rPr>
        <w:t>be retransmitted by the gNB.</w:t>
      </w:r>
    </w:p>
    <w:p w14:paraId="66B59A17" w14:textId="0CA1D85F" w:rsidR="00EA489D" w:rsidRDefault="00EA489D" w:rsidP="00EA489D">
      <w:pPr>
        <w:pStyle w:val="ListParagraph"/>
        <w:numPr>
          <w:ilvl w:val="0"/>
          <w:numId w:val="31"/>
        </w:numPr>
        <w:spacing w:before="240"/>
        <w:jc w:val="both"/>
        <w:rPr>
          <w:rFonts w:ascii="Times New Roman" w:hAnsi="Times New Roman"/>
        </w:rPr>
      </w:pPr>
      <w:r w:rsidRPr="00212912">
        <w:rPr>
          <w:rFonts w:ascii="Times New Roman" w:hAnsi="Times New Roman"/>
        </w:rPr>
        <w:t xml:space="preserve">If the UE misinterprets </w:t>
      </w:r>
      <w:r>
        <w:rPr>
          <w:rFonts w:ascii="Times New Roman" w:hAnsi="Times New Roman"/>
        </w:rPr>
        <w:t>an ‘</w:t>
      </w:r>
      <w:r w:rsidRPr="00212912">
        <w:rPr>
          <w:rFonts w:ascii="Times New Roman" w:hAnsi="Times New Roman"/>
        </w:rPr>
        <w:t>UL</w:t>
      </w:r>
      <w:r>
        <w:rPr>
          <w:rFonts w:ascii="Times New Roman" w:hAnsi="Times New Roman"/>
        </w:rPr>
        <w:t>’</w:t>
      </w:r>
      <w:r w:rsidRPr="00212912">
        <w:rPr>
          <w:rFonts w:ascii="Times New Roman" w:hAnsi="Times New Roman"/>
        </w:rPr>
        <w:t xml:space="preserve"> symbol as </w:t>
      </w:r>
      <w:r>
        <w:rPr>
          <w:rFonts w:ascii="Times New Roman" w:hAnsi="Times New Roman"/>
        </w:rPr>
        <w:t>an ‘Unknown’ symbol:</w:t>
      </w:r>
    </w:p>
    <w:p w14:paraId="23219665" w14:textId="42A450D3" w:rsidR="00EA489D" w:rsidRPr="00EA489D" w:rsidRDefault="00656289" w:rsidP="00EA489D">
      <w:pPr>
        <w:pStyle w:val="ListParagraph"/>
        <w:numPr>
          <w:ilvl w:val="1"/>
          <w:numId w:val="31"/>
        </w:numPr>
        <w:spacing w:before="240"/>
        <w:jc w:val="both"/>
        <w:rPr>
          <w:rFonts w:ascii="Times New Roman" w:hAnsi="Times New Roman"/>
        </w:rPr>
      </w:pPr>
      <w:r>
        <w:rPr>
          <w:rFonts w:ascii="Times New Roman" w:hAnsi="Times New Roman"/>
        </w:rPr>
        <w:t>T</w:t>
      </w:r>
      <w:r w:rsidR="00EA489D" w:rsidRPr="00EA489D">
        <w:rPr>
          <w:rFonts w:ascii="Times New Roman" w:hAnsi="Times New Roman"/>
        </w:rPr>
        <w:t>he gNB fails to detect PUSCH and/or PUCCH which consequently need to be retransmitted by the UE</w:t>
      </w:r>
      <w:r>
        <w:rPr>
          <w:rFonts w:ascii="Times New Roman" w:hAnsi="Times New Roman"/>
        </w:rPr>
        <w:t>.</w:t>
      </w:r>
    </w:p>
    <w:p w14:paraId="64102EC3" w14:textId="77777777" w:rsidR="00B278D7" w:rsidRDefault="00B278D7" w:rsidP="00B278D7">
      <w:pPr>
        <w:pStyle w:val="ListParagraph"/>
        <w:numPr>
          <w:ilvl w:val="0"/>
          <w:numId w:val="31"/>
        </w:numPr>
        <w:spacing w:before="240"/>
        <w:jc w:val="both"/>
        <w:rPr>
          <w:rFonts w:ascii="Times New Roman" w:hAnsi="Times New Roman"/>
        </w:rPr>
      </w:pPr>
      <w:r>
        <w:rPr>
          <w:rFonts w:ascii="Times New Roman" w:hAnsi="Times New Roman"/>
        </w:rPr>
        <w:t>If</w:t>
      </w:r>
      <w:r w:rsidRPr="00212912">
        <w:rPr>
          <w:rFonts w:ascii="Times New Roman" w:hAnsi="Times New Roman"/>
        </w:rPr>
        <w:t xml:space="preserve"> the UE </w:t>
      </w:r>
      <w:r>
        <w:rPr>
          <w:rFonts w:ascii="Times New Roman" w:hAnsi="Times New Roman"/>
        </w:rPr>
        <w:t>misinterprets an</w:t>
      </w:r>
      <w:r w:rsidRPr="00EA489D">
        <w:rPr>
          <w:rFonts w:ascii="Times New Roman" w:hAnsi="Times New Roman"/>
        </w:rPr>
        <w:t xml:space="preserve"> ‘Unknown’</w:t>
      </w:r>
      <w:r>
        <w:rPr>
          <w:rFonts w:ascii="Times New Roman" w:hAnsi="Times New Roman"/>
        </w:rPr>
        <w:t xml:space="preserve"> symbol</w:t>
      </w:r>
      <w:r w:rsidRPr="00EA489D">
        <w:rPr>
          <w:rFonts w:ascii="Times New Roman" w:hAnsi="Times New Roman"/>
        </w:rPr>
        <w:t xml:space="preserve"> </w:t>
      </w:r>
      <w:r>
        <w:rPr>
          <w:rFonts w:ascii="Times New Roman" w:hAnsi="Times New Roman"/>
        </w:rPr>
        <w:t>as an ‘</w:t>
      </w:r>
      <w:r w:rsidRPr="00212912">
        <w:rPr>
          <w:rFonts w:ascii="Times New Roman" w:hAnsi="Times New Roman"/>
        </w:rPr>
        <w:t>UL</w:t>
      </w:r>
      <w:r>
        <w:rPr>
          <w:rFonts w:ascii="Times New Roman" w:hAnsi="Times New Roman"/>
        </w:rPr>
        <w:t>’ symbol:</w:t>
      </w:r>
    </w:p>
    <w:p w14:paraId="5BDEE53A" w14:textId="12F86259" w:rsidR="00B278D7" w:rsidRPr="00EA489D" w:rsidRDefault="00B278D7" w:rsidP="00B278D7">
      <w:pPr>
        <w:pStyle w:val="ListParagraph"/>
        <w:numPr>
          <w:ilvl w:val="1"/>
          <w:numId w:val="31"/>
        </w:numPr>
        <w:spacing w:before="240"/>
        <w:jc w:val="both"/>
        <w:rPr>
          <w:rFonts w:ascii="Times New Roman" w:hAnsi="Times New Roman"/>
        </w:rPr>
      </w:pPr>
      <w:r w:rsidRPr="00EA489D">
        <w:rPr>
          <w:rFonts w:ascii="Times New Roman" w:hAnsi="Times New Roman"/>
        </w:rPr>
        <w:t>In case of UL transmission, the UE may use the symbol for UL transmission which could cause int</w:t>
      </w:r>
      <w:r w:rsidR="00656289">
        <w:rPr>
          <w:rFonts w:ascii="Times New Roman" w:hAnsi="Times New Roman"/>
        </w:rPr>
        <w:t>erference for future release UEs</w:t>
      </w:r>
      <w:r w:rsidRPr="00EA489D">
        <w:rPr>
          <w:rFonts w:ascii="Times New Roman" w:hAnsi="Times New Roman"/>
        </w:rPr>
        <w:t xml:space="preserve">. </w:t>
      </w:r>
    </w:p>
    <w:p w14:paraId="78BCA0B0" w14:textId="66335944" w:rsidR="00997652" w:rsidRDefault="00A84099" w:rsidP="00997652">
      <w:pPr>
        <w:spacing w:before="240"/>
      </w:pPr>
      <w:r>
        <w:t xml:space="preserve">Among the above described scenarios, </w:t>
      </w:r>
      <w:r w:rsidR="00445416">
        <w:t xml:space="preserve">those </w:t>
      </w:r>
      <w:r>
        <w:t>scenario</w:t>
      </w:r>
      <w:r w:rsidR="00445416">
        <w:t>s which involve uplink transmission by the UE may</w:t>
      </w:r>
      <w:r>
        <w:t xml:space="preserve"> have the most impact on the system performance due to the interference caused by the UE. </w:t>
      </w:r>
      <w:r w:rsidR="00573216">
        <w:t xml:space="preserve">However, it should be noted that when the payload is very small, it may still be worthwhile to avoid CRC and lower </w:t>
      </w:r>
      <w:r w:rsidR="0002138D">
        <w:t xml:space="preserve">the </w:t>
      </w:r>
      <w:r w:rsidR="00573216">
        <w:t>coding rate, which result in better error correction performance.</w:t>
      </w:r>
    </w:p>
    <w:p w14:paraId="6F764156" w14:textId="0AA5E479" w:rsidR="00573216" w:rsidRDefault="00100F82" w:rsidP="00573216">
      <w:pPr>
        <w:spacing w:before="240"/>
      </w:pPr>
      <w:r>
        <w:t>Given that in NR it has been agreed that the SFI may carry the information for multiple slots, t</w:t>
      </w:r>
      <w:r w:rsidR="00573216">
        <w:t xml:space="preserve">o support both cases of small and large payload sizes, </w:t>
      </w:r>
      <w:r>
        <w:t xml:space="preserve">it is desirable to have </w:t>
      </w:r>
      <w:r w:rsidR="00F53AB2">
        <w:t>different modes of transmission f</w:t>
      </w:r>
      <w:r w:rsidR="00573216">
        <w:t>or group-common PDCCH</w:t>
      </w:r>
      <w:r>
        <w:t xml:space="preserve"> </w:t>
      </w:r>
      <w:r w:rsidR="00F53AB2">
        <w:t>with different error correction and error detection mechanisms.</w:t>
      </w:r>
      <w:r w:rsidR="00D46BFA">
        <w:t xml:space="preserve"> </w:t>
      </w:r>
      <w:r w:rsidR="00F53AB2">
        <w:t>For example</w:t>
      </w:r>
      <w:r w:rsidR="00573216">
        <w:t>,</w:t>
      </w:r>
      <w:r>
        <w:t xml:space="preserve"> for large payload size, the </w:t>
      </w:r>
      <w:r w:rsidR="00573216">
        <w:t xml:space="preserve">CRC-based mode of transmission for group-common PDCCH </w:t>
      </w:r>
      <w:r>
        <w:t>can be used with</w:t>
      </w:r>
      <w:r w:rsidR="00573216">
        <w:t xml:space="preserve"> polar co</w:t>
      </w:r>
      <w:r>
        <w:t>des as forward error correction. Similarly, for small payload size,</w:t>
      </w:r>
      <w:r w:rsidR="00573216">
        <w:t xml:space="preserve"> the CRC-less mode of transmission for group-common </w:t>
      </w:r>
      <w:r w:rsidR="00F53AB2">
        <w:t xml:space="preserve">PDCCH </w:t>
      </w:r>
      <w:r>
        <w:t>can be used with</w:t>
      </w:r>
      <w:r w:rsidR="00F53AB2">
        <w:t xml:space="preserve"> </w:t>
      </w:r>
      <w:r>
        <w:t xml:space="preserve">the </w:t>
      </w:r>
      <w:r w:rsidR="00F53AB2">
        <w:t>Reed-Muller codes</w:t>
      </w:r>
      <w:r>
        <w:t xml:space="preserve"> as forward error correction</w:t>
      </w:r>
      <w:r w:rsidR="00F53AB2">
        <w:t>.</w:t>
      </w:r>
      <w:r>
        <w:t xml:space="preserve"> It should be noted</w:t>
      </w:r>
      <w:r w:rsidRPr="00100F82">
        <w:t xml:space="preserve"> </w:t>
      </w:r>
      <w:r>
        <w:t>that the Reed-Muller code can be designed such that it provides some error detection capability while not comparable to the CRC-based solution.</w:t>
      </w:r>
    </w:p>
    <w:p w14:paraId="7497949D" w14:textId="440306D0" w:rsidR="00573216" w:rsidRDefault="00573216" w:rsidP="00997652">
      <w:pPr>
        <w:spacing w:before="240"/>
      </w:pPr>
      <w:r>
        <w:t>The mode of transmission of gro</w:t>
      </w:r>
      <w:r w:rsidR="00F200E8">
        <w:t>up-common PDCCH carrying SFI can</w:t>
      </w:r>
      <w:r>
        <w:t xml:space="preserve"> be </w:t>
      </w:r>
      <w:r w:rsidR="006D6439">
        <w:t xml:space="preserve">explicitly indicated in the </w:t>
      </w:r>
      <w:r w:rsidR="00100F82">
        <w:t xml:space="preserve">CORESET </w:t>
      </w:r>
      <w:r w:rsidR="006D6439">
        <w:t>configuration or implicitly derived by the UE from other parameters.</w:t>
      </w:r>
      <w:r>
        <w:t xml:space="preserve"> </w:t>
      </w:r>
      <w:r w:rsidR="006D6439">
        <w:t>In the case of explicit indication, the e</w:t>
      </w:r>
      <w:r>
        <w:t xml:space="preserve">nconding scheme (e.g., Polar code or Reed-Muller) </w:t>
      </w:r>
      <w:r w:rsidR="006D6439">
        <w:t>could be explicitly included in the CORESET configuration. In the case of implicit indication, the UE may deduct the mode of transmission from the SFI payload size or the m</w:t>
      </w:r>
      <w:r>
        <w:t>onitoring rate of the group-common PDCCH carrying SFI</w:t>
      </w:r>
      <w:r w:rsidR="006D6439">
        <w:t>.</w:t>
      </w:r>
    </w:p>
    <w:p w14:paraId="6D8982C7" w14:textId="4C2702B7" w:rsidR="00033029" w:rsidRDefault="00033029" w:rsidP="00033029">
      <w:pPr>
        <w:rPr>
          <w:i/>
          <w:lang w:eastAsia="sv-SE"/>
        </w:rPr>
      </w:pPr>
      <w:r w:rsidRPr="00564F9F">
        <w:rPr>
          <w:b/>
          <w:i/>
          <w:u w:val="single"/>
          <w:lang w:eastAsia="sv-SE"/>
        </w:rPr>
        <w:t xml:space="preserve">Proposal </w:t>
      </w:r>
      <w:r w:rsidR="00652ACF">
        <w:rPr>
          <w:b/>
          <w:i/>
          <w:u w:val="single"/>
          <w:lang w:eastAsia="sv-SE"/>
        </w:rPr>
        <w:t>4</w:t>
      </w:r>
      <w:r w:rsidRPr="00564F9F">
        <w:rPr>
          <w:b/>
          <w:i/>
          <w:u w:val="single"/>
          <w:lang w:eastAsia="sv-SE"/>
        </w:rPr>
        <w:t>:</w:t>
      </w:r>
      <w:r w:rsidRPr="00564F9F">
        <w:rPr>
          <w:b/>
          <w:lang w:eastAsia="sv-SE"/>
        </w:rPr>
        <w:t xml:space="preserve"> </w:t>
      </w:r>
      <w:r w:rsidR="006D6439">
        <w:rPr>
          <w:i/>
          <w:lang w:eastAsia="sv-SE"/>
        </w:rPr>
        <w:t xml:space="preserve">NR supports configurable mode of transmission for group common </w:t>
      </w:r>
      <w:r w:rsidR="006D0CBF">
        <w:rPr>
          <w:i/>
          <w:lang w:eastAsia="sv-SE"/>
        </w:rPr>
        <w:t>w/o CRC</w:t>
      </w:r>
      <w:r w:rsidR="00854AC3">
        <w:rPr>
          <w:i/>
          <w:lang w:eastAsia="sv-SE"/>
        </w:rPr>
        <w:t>.</w:t>
      </w:r>
      <w:r w:rsidR="00360514">
        <w:rPr>
          <w:i/>
          <w:lang w:eastAsia="sv-SE"/>
        </w:rPr>
        <w:t xml:space="preserve"> </w:t>
      </w:r>
    </w:p>
    <w:p w14:paraId="0FA008A4" w14:textId="77777777" w:rsidR="00E2583C" w:rsidRDefault="00E2583C" w:rsidP="00033029">
      <w:pPr>
        <w:rPr>
          <w:i/>
          <w:lang w:eastAsia="sv-SE"/>
        </w:rPr>
      </w:pPr>
    </w:p>
    <w:p w14:paraId="596E93DF" w14:textId="049D4511" w:rsidR="00821C42" w:rsidRPr="00EF015F" w:rsidRDefault="00EF015F" w:rsidP="00821C42">
      <w:pPr>
        <w:pStyle w:val="Heading1"/>
        <w:pBdr>
          <w:top w:val="single" w:sz="12" w:space="5" w:color="auto"/>
        </w:pBdr>
        <w:spacing w:after="120"/>
        <w:rPr>
          <w:rFonts w:ascii="Times New Roman" w:hAnsi="Times New Roman"/>
          <w:b/>
          <w:sz w:val="32"/>
          <w:lang w:val="en-US"/>
        </w:rPr>
      </w:pPr>
      <w:r w:rsidRPr="00EF015F">
        <w:rPr>
          <w:rFonts w:ascii="Times New Roman" w:hAnsi="Times New Roman"/>
          <w:b/>
          <w:sz w:val="32"/>
          <w:lang w:val="en-US"/>
        </w:rPr>
        <w:lastRenderedPageBreak/>
        <w:t>Conclusion</w:t>
      </w:r>
    </w:p>
    <w:p w14:paraId="695697E4" w14:textId="36BD5AE2" w:rsidR="009F4088" w:rsidRDefault="003242DD" w:rsidP="009F4088">
      <w:r w:rsidRPr="00564F9F">
        <w:t>This contribution discussed</w:t>
      </w:r>
      <w:r w:rsidR="00220819" w:rsidRPr="00564F9F">
        <w:t xml:space="preserve"> </w:t>
      </w:r>
      <w:r w:rsidR="00360514">
        <w:t>the remaining design aspects related to the</w:t>
      </w:r>
      <w:r w:rsidR="00B7330A">
        <w:t xml:space="preserve"> content and structure of</w:t>
      </w:r>
      <w:r w:rsidR="00360514">
        <w:t xml:space="preserve"> group-common PDCCH. It was</w:t>
      </w:r>
      <w:r w:rsidR="00D267AA" w:rsidRPr="00564F9F">
        <w:t xml:space="preserve"> </w:t>
      </w:r>
      <w:r w:rsidR="00360514">
        <w:t>concluded that:</w:t>
      </w:r>
    </w:p>
    <w:p w14:paraId="3B0DDE46" w14:textId="77777777" w:rsidR="00B7330A" w:rsidRPr="00B7330A" w:rsidRDefault="00B7330A" w:rsidP="00B7330A">
      <w:pPr>
        <w:spacing w:before="240"/>
        <w:rPr>
          <w:i/>
          <w:lang w:eastAsia="sv-SE"/>
        </w:rPr>
      </w:pPr>
      <w:r w:rsidRPr="00B7330A">
        <w:rPr>
          <w:b/>
          <w:i/>
          <w:u w:val="single"/>
          <w:lang w:eastAsia="sv-SE"/>
        </w:rPr>
        <w:t>Proposal 1:</w:t>
      </w:r>
      <w:r w:rsidRPr="00B7330A">
        <w:rPr>
          <w:b/>
          <w:lang w:eastAsia="sv-SE"/>
        </w:rPr>
        <w:t xml:space="preserve"> </w:t>
      </w:r>
      <w:r w:rsidRPr="00B7330A">
        <w:rPr>
          <w:i/>
          <w:lang w:eastAsia="sv-SE"/>
        </w:rPr>
        <w:t>The group-common PDCCH should be dedicated to carry the SFI.</w:t>
      </w:r>
    </w:p>
    <w:p w14:paraId="1E1504C4" w14:textId="77777777" w:rsidR="00B7330A" w:rsidRPr="00B7330A" w:rsidRDefault="00B7330A" w:rsidP="00B7330A">
      <w:pPr>
        <w:spacing w:before="240"/>
        <w:rPr>
          <w:i/>
          <w:lang w:eastAsia="sv-SE"/>
        </w:rPr>
      </w:pPr>
      <w:r w:rsidRPr="00B7330A">
        <w:rPr>
          <w:b/>
          <w:i/>
          <w:u w:val="single"/>
          <w:lang w:eastAsia="sv-SE"/>
        </w:rPr>
        <w:t>Proposal 2:</w:t>
      </w:r>
      <w:r w:rsidRPr="00B7330A">
        <w:rPr>
          <w:b/>
          <w:i/>
          <w:lang w:eastAsia="sv-SE"/>
        </w:rPr>
        <w:t xml:space="preserve"> </w:t>
      </w:r>
      <w:r w:rsidRPr="00B7330A">
        <w:rPr>
          <w:i/>
          <w:lang w:eastAsia="sv-SE"/>
        </w:rPr>
        <w:t xml:space="preserve">The SFI content should be limited to symbol information </w:t>
      </w:r>
      <w:r w:rsidRPr="00B7330A">
        <w:rPr>
          <w:rFonts w:eastAsia="MS Mincho"/>
          <w:i/>
          <w:lang w:eastAsia="ja-JP"/>
        </w:rPr>
        <w:t>for one or more slots and some reserved bits</w:t>
      </w:r>
      <w:r w:rsidRPr="00B7330A">
        <w:rPr>
          <w:i/>
          <w:lang w:eastAsia="sv-SE"/>
        </w:rPr>
        <w:t xml:space="preserve"> for future compatibility.</w:t>
      </w:r>
    </w:p>
    <w:p w14:paraId="276484CF" w14:textId="77777777" w:rsidR="00B7330A" w:rsidRPr="00B7330A" w:rsidRDefault="00B7330A" w:rsidP="00B7330A">
      <w:pPr>
        <w:spacing w:before="240"/>
        <w:rPr>
          <w:i/>
          <w:lang w:eastAsia="sv-SE"/>
        </w:rPr>
      </w:pPr>
      <w:r w:rsidRPr="00B7330A">
        <w:rPr>
          <w:b/>
          <w:i/>
          <w:u w:val="single"/>
          <w:lang w:eastAsia="sv-SE"/>
        </w:rPr>
        <w:t>Proposal 3:</w:t>
      </w:r>
      <w:r w:rsidRPr="00B7330A">
        <w:rPr>
          <w:b/>
          <w:i/>
          <w:lang w:eastAsia="sv-SE"/>
        </w:rPr>
        <w:t xml:space="preserve"> </w:t>
      </w:r>
      <w:r w:rsidRPr="00B7330A">
        <w:rPr>
          <w:i/>
          <w:lang w:eastAsia="sv-SE"/>
        </w:rPr>
        <w:t>The slot format related information in the SFI informs the UEs of the number of slots over which the slot format related information is valid.</w:t>
      </w:r>
    </w:p>
    <w:p w14:paraId="28D47B3C" w14:textId="0B77F108" w:rsidR="006D6439" w:rsidRDefault="006D6439" w:rsidP="006D6439">
      <w:pPr>
        <w:rPr>
          <w:i/>
          <w:lang w:eastAsia="sv-SE"/>
        </w:rPr>
      </w:pPr>
      <w:r w:rsidRPr="00564F9F">
        <w:rPr>
          <w:b/>
          <w:i/>
          <w:u w:val="single"/>
          <w:lang w:eastAsia="sv-SE"/>
        </w:rPr>
        <w:t xml:space="preserve">Proposal </w:t>
      </w:r>
      <w:r>
        <w:rPr>
          <w:b/>
          <w:i/>
          <w:u w:val="single"/>
          <w:lang w:eastAsia="sv-SE"/>
        </w:rPr>
        <w:t>4</w:t>
      </w:r>
      <w:r w:rsidRPr="00564F9F">
        <w:rPr>
          <w:b/>
          <w:i/>
          <w:u w:val="single"/>
          <w:lang w:eastAsia="sv-SE"/>
        </w:rPr>
        <w:t>:</w:t>
      </w:r>
      <w:r w:rsidRPr="00564F9F">
        <w:rPr>
          <w:b/>
          <w:lang w:eastAsia="sv-SE"/>
        </w:rPr>
        <w:t xml:space="preserve"> </w:t>
      </w:r>
      <w:r>
        <w:rPr>
          <w:i/>
          <w:lang w:eastAsia="sv-SE"/>
        </w:rPr>
        <w:t xml:space="preserve">NR supports configurable mode of transmission for group common PDCCH </w:t>
      </w:r>
      <w:r w:rsidR="006D0CBF">
        <w:rPr>
          <w:i/>
          <w:lang w:eastAsia="sv-SE"/>
        </w:rPr>
        <w:t xml:space="preserve">w/o </w:t>
      </w:r>
      <w:r>
        <w:rPr>
          <w:i/>
          <w:lang w:eastAsia="sv-SE"/>
        </w:rPr>
        <w:t xml:space="preserve">CRC. </w:t>
      </w:r>
    </w:p>
    <w:p w14:paraId="7C6421C3" w14:textId="2CB35145" w:rsidR="00195E3B" w:rsidRPr="00C740A9" w:rsidRDefault="00251B4A" w:rsidP="00195E3B">
      <w:pPr>
        <w:pStyle w:val="Heading1"/>
        <w:rPr>
          <w:rFonts w:ascii="Times New Roman" w:hAnsi="Times New Roman"/>
          <w:b/>
          <w:sz w:val="32"/>
          <w:lang w:val="en-US"/>
        </w:rPr>
      </w:pPr>
      <w:r w:rsidRPr="001D0B18">
        <w:rPr>
          <w:rFonts w:ascii="Times New Roman" w:hAnsi="Times New Roman"/>
          <w:b/>
          <w:sz w:val="32"/>
          <w:lang w:val="en-US"/>
        </w:rPr>
        <w:t>References</w:t>
      </w:r>
      <w:r w:rsidR="00195E3B" w:rsidRPr="00195E3B">
        <w:rPr>
          <w:rFonts w:ascii="Times New Roman" w:hAnsi="Times New Roman"/>
          <w:b/>
          <w:sz w:val="32"/>
          <w:lang w:val="en-US"/>
        </w:rPr>
        <w:t xml:space="preserve"> </w:t>
      </w:r>
    </w:p>
    <w:p w14:paraId="28702256" w14:textId="77777777" w:rsidR="00195E3B" w:rsidRDefault="00195E3B" w:rsidP="00195E3B">
      <w:pPr>
        <w:pStyle w:val="Reference"/>
      </w:pPr>
      <w:bookmarkStart w:id="2" w:name="_Ref455734493"/>
      <w:bookmarkStart w:id="3" w:name="_Ref434502751"/>
      <w:bookmarkStart w:id="4" w:name="_Ref419296613"/>
      <w:bookmarkStart w:id="5" w:name="_Ref434227915"/>
      <w:bookmarkStart w:id="6" w:name="_Ref434501473"/>
      <w:r w:rsidRPr="00AA3833">
        <w:t xml:space="preserve">RAN1 </w:t>
      </w:r>
      <w:r>
        <w:t>NR Ad-Hoc#2</w:t>
      </w:r>
      <w:r w:rsidRPr="00AC1F56">
        <w:t xml:space="preserve"> </w:t>
      </w:r>
      <w:r w:rsidRPr="00AA3833">
        <w:t>Chairman’s Notes</w:t>
      </w:r>
      <w:r>
        <w:t>, Qingdao, P.R. China, 27th – 30th June 2017</w:t>
      </w:r>
    </w:p>
    <w:bookmarkEnd w:id="2"/>
    <w:bookmarkEnd w:id="3"/>
    <w:bookmarkEnd w:id="4"/>
    <w:bookmarkEnd w:id="5"/>
    <w:bookmarkEnd w:id="6"/>
    <w:p w14:paraId="6AB5FA10" w14:textId="77777777" w:rsidR="00195E3B" w:rsidRPr="00195E3B" w:rsidRDefault="00195E3B" w:rsidP="00195E3B">
      <w:pPr>
        <w:pStyle w:val="Reference"/>
        <w:numPr>
          <w:ilvl w:val="0"/>
          <w:numId w:val="0"/>
        </w:numPr>
        <w:ind w:left="567"/>
      </w:pPr>
    </w:p>
    <w:sectPr w:rsidR="00195E3B" w:rsidRPr="00195E3B" w:rsidSect="00D55085">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D2DE66" w14:textId="77777777" w:rsidR="00775B80" w:rsidRDefault="00775B80">
      <w:r>
        <w:separator/>
      </w:r>
    </w:p>
  </w:endnote>
  <w:endnote w:type="continuationSeparator" w:id="0">
    <w:p w14:paraId="426870AF" w14:textId="77777777" w:rsidR="00775B80" w:rsidRDefault="00775B80">
      <w:r>
        <w:continuationSeparator/>
      </w:r>
    </w:p>
  </w:endnote>
  <w:endnote w:type="continuationNotice" w:id="1">
    <w:p w14:paraId="12CAF6F4" w14:textId="77777777" w:rsidR="00775B80" w:rsidRDefault="00775B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2AEF" w:usb1="4000207B"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F049EA" w14:textId="77777777" w:rsidR="005C34EB" w:rsidRDefault="005C34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1C80AB05" w:rsidR="00916FCC" w:rsidRPr="0052740B" w:rsidRDefault="00916FCC" w:rsidP="0052740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54236D" w14:textId="77777777" w:rsidR="005C34EB" w:rsidRDefault="005C34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2090DD" w14:textId="77777777" w:rsidR="00775B80" w:rsidRDefault="00775B80">
      <w:r>
        <w:separator/>
      </w:r>
    </w:p>
  </w:footnote>
  <w:footnote w:type="continuationSeparator" w:id="0">
    <w:p w14:paraId="4A22EB94" w14:textId="77777777" w:rsidR="00775B80" w:rsidRDefault="00775B80">
      <w:r>
        <w:continuationSeparator/>
      </w:r>
    </w:p>
  </w:footnote>
  <w:footnote w:type="continuationNotice" w:id="1">
    <w:p w14:paraId="7A94E834" w14:textId="77777777" w:rsidR="00775B80" w:rsidRDefault="00775B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C554C" w14:textId="74CF5234" w:rsidR="00916FCC" w:rsidRDefault="00916FC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1E3936" w14:textId="77777777" w:rsidR="005C34EB" w:rsidRDefault="005C34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053355" w14:textId="77777777" w:rsidR="005C34EB" w:rsidRDefault="005C34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984511D"/>
    <w:multiLevelType w:val="hybridMultilevel"/>
    <w:tmpl w:val="04DE1272"/>
    <w:lvl w:ilvl="0" w:tplc="F6EA07FC">
      <w:start w:val="1"/>
      <w:numFmt w:val="bullet"/>
      <w:lvlText w:val="•"/>
      <w:lvlJc w:val="left"/>
      <w:pPr>
        <w:tabs>
          <w:tab w:val="num" w:pos="720"/>
        </w:tabs>
        <w:ind w:left="720" w:hanging="360"/>
      </w:pPr>
      <w:rPr>
        <w:rFonts w:ascii="Arial" w:hAnsi="Arial" w:hint="default"/>
      </w:rPr>
    </w:lvl>
    <w:lvl w:ilvl="1" w:tplc="CF5212F8">
      <w:numFmt w:val="bullet"/>
      <w:lvlText w:val="•"/>
      <w:lvlJc w:val="left"/>
      <w:pPr>
        <w:tabs>
          <w:tab w:val="num" w:pos="1440"/>
        </w:tabs>
        <w:ind w:left="1440" w:hanging="360"/>
      </w:pPr>
      <w:rPr>
        <w:rFonts w:ascii="Arial" w:hAnsi="Arial" w:hint="default"/>
      </w:rPr>
    </w:lvl>
    <w:lvl w:ilvl="2" w:tplc="1B2857B6">
      <w:numFmt w:val="bullet"/>
      <w:lvlText w:val="•"/>
      <w:lvlJc w:val="left"/>
      <w:pPr>
        <w:tabs>
          <w:tab w:val="num" w:pos="2160"/>
        </w:tabs>
        <w:ind w:left="2160" w:hanging="360"/>
      </w:pPr>
      <w:rPr>
        <w:rFonts w:ascii="Arial" w:hAnsi="Arial" w:hint="default"/>
      </w:rPr>
    </w:lvl>
    <w:lvl w:ilvl="3" w:tplc="5CF0C03E" w:tentative="1">
      <w:start w:val="1"/>
      <w:numFmt w:val="bullet"/>
      <w:lvlText w:val="•"/>
      <w:lvlJc w:val="left"/>
      <w:pPr>
        <w:tabs>
          <w:tab w:val="num" w:pos="2880"/>
        </w:tabs>
        <w:ind w:left="2880" w:hanging="360"/>
      </w:pPr>
      <w:rPr>
        <w:rFonts w:ascii="Arial" w:hAnsi="Arial" w:hint="default"/>
      </w:rPr>
    </w:lvl>
    <w:lvl w:ilvl="4" w:tplc="C35E81EA" w:tentative="1">
      <w:start w:val="1"/>
      <w:numFmt w:val="bullet"/>
      <w:lvlText w:val="•"/>
      <w:lvlJc w:val="left"/>
      <w:pPr>
        <w:tabs>
          <w:tab w:val="num" w:pos="3600"/>
        </w:tabs>
        <w:ind w:left="3600" w:hanging="360"/>
      </w:pPr>
      <w:rPr>
        <w:rFonts w:ascii="Arial" w:hAnsi="Arial" w:hint="default"/>
      </w:rPr>
    </w:lvl>
    <w:lvl w:ilvl="5" w:tplc="93780012" w:tentative="1">
      <w:start w:val="1"/>
      <w:numFmt w:val="bullet"/>
      <w:lvlText w:val="•"/>
      <w:lvlJc w:val="left"/>
      <w:pPr>
        <w:tabs>
          <w:tab w:val="num" w:pos="4320"/>
        </w:tabs>
        <w:ind w:left="4320" w:hanging="360"/>
      </w:pPr>
      <w:rPr>
        <w:rFonts w:ascii="Arial" w:hAnsi="Arial" w:hint="default"/>
      </w:rPr>
    </w:lvl>
    <w:lvl w:ilvl="6" w:tplc="F7FC3CA2" w:tentative="1">
      <w:start w:val="1"/>
      <w:numFmt w:val="bullet"/>
      <w:lvlText w:val="•"/>
      <w:lvlJc w:val="left"/>
      <w:pPr>
        <w:tabs>
          <w:tab w:val="num" w:pos="5040"/>
        </w:tabs>
        <w:ind w:left="5040" w:hanging="360"/>
      </w:pPr>
      <w:rPr>
        <w:rFonts w:ascii="Arial" w:hAnsi="Arial" w:hint="default"/>
      </w:rPr>
    </w:lvl>
    <w:lvl w:ilvl="7" w:tplc="7E924964" w:tentative="1">
      <w:start w:val="1"/>
      <w:numFmt w:val="bullet"/>
      <w:lvlText w:val="•"/>
      <w:lvlJc w:val="left"/>
      <w:pPr>
        <w:tabs>
          <w:tab w:val="num" w:pos="5760"/>
        </w:tabs>
        <w:ind w:left="5760" w:hanging="360"/>
      </w:pPr>
      <w:rPr>
        <w:rFonts w:ascii="Arial" w:hAnsi="Arial" w:hint="default"/>
      </w:rPr>
    </w:lvl>
    <w:lvl w:ilvl="8" w:tplc="D7CAD92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521AC9"/>
    <w:multiLevelType w:val="hybridMultilevel"/>
    <w:tmpl w:val="42CAAF74"/>
    <w:lvl w:ilvl="0" w:tplc="0409000F">
      <w:start w:val="1"/>
      <w:numFmt w:val="decimal"/>
      <w:lvlText w:val="%1."/>
      <w:lvlJc w:val="left"/>
      <w:pPr>
        <w:ind w:left="828" w:hanging="360"/>
      </w:pPr>
      <w:rPr>
        <w:rFonts w:hint="default"/>
      </w:rPr>
    </w:lvl>
    <w:lvl w:ilvl="1" w:tplc="04090003">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3" w15:restartNumberingAfterBreak="0">
    <w:nsid w:val="0B2D6E6B"/>
    <w:multiLevelType w:val="hybridMultilevel"/>
    <w:tmpl w:val="7D602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A97292"/>
    <w:multiLevelType w:val="hybridMultilevel"/>
    <w:tmpl w:val="5594A568"/>
    <w:lvl w:ilvl="0" w:tplc="0A165F0C">
      <w:start w:val="1"/>
      <w:numFmt w:val="bullet"/>
      <w:lvlText w:val="•"/>
      <w:lvlJc w:val="left"/>
      <w:pPr>
        <w:ind w:left="840" w:hanging="420"/>
      </w:pPr>
      <w:rPr>
        <w:rFonts w:ascii="Arial" w:hAnsi="Aria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6"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117E61"/>
    <w:multiLevelType w:val="hybridMultilevel"/>
    <w:tmpl w:val="375E60FC"/>
    <w:lvl w:ilvl="0" w:tplc="226E3606">
      <w:start w:val="1"/>
      <w:numFmt w:val="bullet"/>
      <w:lvlText w:val="•"/>
      <w:lvlJc w:val="left"/>
      <w:pPr>
        <w:tabs>
          <w:tab w:val="num" w:pos="720"/>
        </w:tabs>
        <w:ind w:left="720" w:hanging="360"/>
      </w:pPr>
      <w:rPr>
        <w:rFonts w:ascii="Arial" w:hAnsi="Arial" w:hint="default"/>
      </w:rPr>
    </w:lvl>
    <w:lvl w:ilvl="1" w:tplc="00FACF90">
      <w:numFmt w:val="bullet"/>
      <w:lvlText w:val="•"/>
      <w:lvlJc w:val="left"/>
      <w:pPr>
        <w:tabs>
          <w:tab w:val="num" w:pos="1440"/>
        </w:tabs>
        <w:ind w:left="1440" w:hanging="360"/>
      </w:pPr>
      <w:rPr>
        <w:rFonts w:ascii="Arial" w:hAnsi="Arial" w:hint="default"/>
      </w:rPr>
    </w:lvl>
    <w:lvl w:ilvl="2" w:tplc="7E0E6DDA">
      <w:numFmt w:val="bullet"/>
      <w:lvlText w:val="•"/>
      <w:lvlJc w:val="left"/>
      <w:pPr>
        <w:tabs>
          <w:tab w:val="num" w:pos="2160"/>
        </w:tabs>
        <w:ind w:left="2160" w:hanging="360"/>
      </w:pPr>
      <w:rPr>
        <w:rFonts w:ascii="Arial" w:hAnsi="Arial" w:hint="default"/>
      </w:rPr>
    </w:lvl>
    <w:lvl w:ilvl="3" w:tplc="A46C6A0E">
      <w:numFmt w:val="bullet"/>
      <w:lvlText w:val="•"/>
      <w:lvlJc w:val="left"/>
      <w:pPr>
        <w:tabs>
          <w:tab w:val="num" w:pos="2880"/>
        </w:tabs>
        <w:ind w:left="2880" w:hanging="360"/>
      </w:pPr>
      <w:rPr>
        <w:rFonts w:ascii="Arial" w:hAnsi="Arial" w:hint="default"/>
      </w:rPr>
    </w:lvl>
    <w:lvl w:ilvl="4" w:tplc="0B86714C" w:tentative="1">
      <w:start w:val="1"/>
      <w:numFmt w:val="bullet"/>
      <w:lvlText w:val="•"/>
      <w:lvlJc w:val="left"/>
      <w:pPr>
        <w:tabs>
          <w:tab w:val="num" w:pos="3600"/>
        </w:tabs>
        <w:ind w:left="3600" w:hanging="360"/>
      </w:pPr>
      <w:rPr>
        <w:rFonts w:ascii="Arial" w:hAnsi="Arial" w:hint="default"/>
      </w:rPr>
    </w:lvl>
    <w:lvl w:ilvl="5" w:tplc="DDB4BECA" w:tentative="1">
      <w:start w:val="1"/>
      <w:numFmt w:val="bullet"/>
      <w:lvlText w:val="•"/>
      <w:lvlJc w:val="left"/>
      <w:pPr>
        <w:tabs>
          <w:tab w:val="num" w:pos="4320"/>
        </w:tabs>
        <w:ind w:left="4320" w:hanging="360"/>
      </w:pPr>
      <w:rPr>
        <w:rFonts w:ascii="Arial" w:hAnsi="Arial" w:hint="default"/>
      </w:rPr>
    </w:lvl>
    <w:lvl w:ilvl="6" w:tplc="F4949912" w:tentative="1">
      <w:start w:val="1"/>
      <w:numFmt w:val="bullet"/>
      <w:lvlText w:val="•"/>
      <w:lvlJc w:val="left"/>
      <w:pPr>
        <w:tabs>
          <w:tab w:val="num" w:pos="5040"/>
        </w:tabs>
        <w:ind w:left="5040" w:hanging="360"/>
      </w:pPr>
      <w:rPr>
        <w:rFonts w:ascii="Arial" w:hAnsi="Arial" w:hint="default"/>
      </w:rPr>
    </w:lvl>
    <w:lvl w:ilvl="7" w:tplc="EF6E116E" w:tentative="1">
      <w:start w:val="1"/>
      <w:numFmt w:val="bullet"/>
      <w:lvlText w:val="•"/>
      <w:lvlJc w:val="left"/>
      <w:pPr>
        <w:tabs>
          <w:tab w:val="num" w:pos="5760"/>
        </w:tabs>
        <w:ind w:left="5760" w:hanging="360"/>
      </w:pPr>
      <w:rPr>
        <w:rFonts w:ascii="Arial" w:hAnsi="Arial" w:hint="default"/>
      </w:rPr>
    </w:lvl>
    <w:lvl w:ilvl="8" w:tplc="F8A217C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423E3D"/>
    <w:multiLevelType w:val="hybridMultilevel"/>
    <w:tmpl w:val="D278C9E2"/>
    <w:lvl w:ilvl="0" w:tplc="9D8A6048">
      <w:start w:val="1"/>
      <w:numFmt w:val="bullet"/>
      <w:lvlText w:val="•"/>
      <w:lvlJc w:val="left"/>
      <w:pPr>
        <w:tabs>
          <w:tab w:val="num" w:pos="720"/>
        </w:tabs>
        <w:ind w:left="720" w:hanging="360"/>
      </w:pPr>
      <w:rPr>
        <w:rFonts w:ascii="Arial" w:hAnsi="Arial" w:hint="default"/>
      </w:rPr>
    </w:lvl>
    <w:lvl w:ilvl="1" w:tplc="37B811AE">
      <w:numFmt w:val="bullet"/>
      <w:lvlText w:val="–"/>
      <w:lvlJc w:val="left"/>
      <w:pPr>
        <w:tabs>
          <w:tab w:val="num" w:pos="1440"/>
        </w:tabs>
        <w:ind w:left="1440" w:hanging="360"/>
      </w:pPr>
      <w:rPr>
        <w:rFonts w:ascii="Arial" w:hAnsi="Arial" w:hint="default"/>
      </w:rPr>
    </w:lvl>
    <w:lvl w:ilvl="2" w:tplc="B740C4E6">
      <w:start w:val="1"/>
      <w:numFmt w:val="bullet"/>
      <w:lvlText w:val="•"/>
      <w:lvlJc w:val="left"/>
      <w:pPr>
        <w:tabs>
          <w:tab w:val="num" w:pos="2160"/>
        </w:tabs>
        <w:ind w:left="2160" w:hanging="360"/>
      </w:pPr>
      <w:rPr>
        <w:rFonts w:ascii="Arial" w:hAnsi="Arial" w:hint="default"/>
      </w:rPr>
    </w:lvl>
    <w:lvl w:ilvl="3" w:tplc="5B7AD4C4" w:tentative="1">
      <w:start w:val="1"/>
      <w:numFmt w:val="bullet"/>
      <w:lvlText w:val="•"/>
      <w:lvlJc w:val="left"/>
      <w:pPr>
        <w:tabs>
          <w:tab w:val="num" w:pos="2880"/>
        </w:tabs>
        <w:ind w:left="2880" w:hanging="360"/>
      </w:pPr>
      <w:rPr>
        <w:rFonts w:ascii="Arial" w:hAnsi="Arial" w:hint="default"/>
      </w:rPr>
    </w:lvl>
    <w:lvl w:ilvl="4" w:tplc="113467A2" w:tentative="1">
      <w:start w:val="1"/>
      <w:numFmt w:val="bullet"/>
      <w:lvlText w:val="•"/>
      <w:lvlJc w:val="left"/>
      <w:pPr>
        <w:tabs>
          <w:tab w:val="num" w:pos="3600"/>
        </w:tabs>
        <w:ind w:left="3600" w:hanging="360"/>
      </w:pPr>
      <w:rPr>
        <w:rFonts w:ascii="Arial" w:hAnsi="Arial" w:hint="default"/>
      </w:rPr>
    </w:lvl>
    <w:lvl w:ilvl="5" w:tplc="453EB7A8" w:tentative="1">
      <w:start w:val="1"/>
      <w:numFmt w:val="bullet"/>
      <w:lvlText w:val="•"/>
      <w:lvlJc w:val="left"/>
      <w:pPr>
        <w:tabs>
          <w:tab w:val="num" w:pos="4320"/>
        </w:tabs>
        <w:ind w:left="4320" w:hanging="360"/>
      </w:pPr>
      <w:rPr>
        <w:rFonts w:ascii="Arial" w:hAnsi="Arial" w:hint="default"/>
      </w:rPr>
    </w:lvl>
    <w:lvl w:ilvl="6" w:tplc="36246832" w:tentative="1">
      <w:start w:val="1"/>
      <w:numFmt w:val="bullet"/>
      <w:lvlText w:val="•"/>
      <w:lvlJc w:val="left"/>
      <w:pPr>
        <w:tabs>
          <w:tab w:val="num" w:pos="5040"/>
        </w:tabs>
        <w:ind w:left="5040" w:hanging="360"/>
      </w:pPr>
      <w:rPr>
        <w:rFonts w:ascii="Arial" w:hAnsi="Arial" w:hint="default"/>
      </w:rPr>
    </w:lvl>
    <w:lvl w:ilvl="7" w:tplc="A02AD27C" w:tentative="1">
      <w:start w:val="1"/>
      <w:numFmt w:val="bullet"/>
      <w:lvlText w:val="•"/>
      <w:lvlJc w:val="left"/>
      <w:pPr>
        <w:tabs>
          <w:tab w:val="num" w:pos="5760"/>
        </w:tabs>
        <w:ind w:left="5760" w:hanging="360"/>
      </w:pPr>
      <w:rPr>
        <w:rFonts w:ascii="Arial" w:hAnsi="Arial" w:hint="default"/>
      </w:rPr>
    </w:lvl>
    <w:lvl w:ilvl="8" w:tplc="8CC296C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E34E96"/>
    <w:multiLevelType w:val="hybridMultilevel"/>
    <w:tmpl w:val="1B32C5A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D5302F"/>
    <w:multiLevelType w:val="hybridMultilevel"/>
    <w:tmpl w:val="53C29F32"/>
    <w:lvl w:ilvl="0" w:tplc="BEDCA22A">
      <w:start w:val="1"/>
      <w:numFmt w:val="bullet"/>
      <w:lvlText w:val="•"/>
      <w:lvlJc w:val="left"/>
      <w:pPr>
        <w:tabs>
          <w:tab w:val="num" w:pos="927"/>
        </w:tabs>
        <w:ind w:left="927" w:hanging="360"/>
      </w:pPr>
      <w:rPr>
        <w:rFonts w:ascii="Arial" w:hAnsi="Arial" w:hint="default"/>
      </w:rPr>
    </w:lvl>
    <w:lvl w:ilvl="1" w:tplc="D72E7896">
      <w:numFmt w:val="bullet"/>
      <w:lvlText w:val="–"/>
      <w:lvlJc w:val="left"/>
      <w:pPr>
        <w:tabs>
          <w:tab w:val="num" w:pos="1647"/>
        </w:tabs>
        <w:ind w:left="1647" w:hanging="360"/>
      </w:pPr>
      <w:rPr>
        <w:rFonts w:ascii="Arial" w:hAnsi="Arial" w:hint="default"/>
      </w:rPr>
    </w:lvl>
    <w:lvl w:ilvl="2" w:tplc="99FABAC0">
      <w:start w:val="1"/>
      <w:numFmt w:val="bullet"/>
      <w:lvlText w:val="•"/>
      <w:lvlJc w:val="left"/>
      <w:pPr>
        <w:tabs>
          <w:tab w:val="num" w:pos="2367"/>
        </w:tabs>
        <w:ind w:left="2367" w:hanging="360"/>
      </w:pPr>
      <w:rPr>
        <w:rFonts w:ascii="Arial" w:hAnsi="Arial" w:hint="default"/>
      </w:rPr>
    </w:lvl>
    <w:lvl w:ilvl="3" w:tplc="EA0664EC" w:tentative="1">
      <w:start w:val="1"/>
      <w:numFmt w:val="bullet"/>
      <w:lvlText w:val="•"/>
      <w:lvlJc w:val="left"/>
      <w:pPr>
        <w:tabs>
          <w:tab w:val="num" w:pos="3087"/>
        </w:tabs>
        <w:ind w:left="3087" w:hanging="360"/>
      </w:pPr>
      <w:rPr>
        <w:rFonts w:ascii="Arial" w:hAnsi="Arial" w:hint="default"/>
      </w:rPr>
    </w:lvl>
    <w:lvl w:ilvl="4" w:tplc="0CBCF4B8" w:tentative="1">
      <w:start w:val="1"/>
      <w:numFmt w:val="bullet"/>
      <w:lvlText w:val="•"/>
      <w:lvlJc w:val="left"/>
      <w:pPr>
        <w:tabs>
          <w:tab w:val="num" w:pos="3807"/>
        </w:tabs>
        <w:ind w:left="3807" w:hanging="360"/>
      </w:pPr>
      <w:rPr>
        <w:rFonts w:ascii="Arial" w:hAnsi="Arial" w:hint="default"/>
      </w:rPr>
    </w:lvl>
    <w:lvl w:ilvl="5" w:tplc="BACEFE74" w:tentative="1">
      <w:start w:val="1"/>
      <w:numFmt w:val="bullet"/>
      <w:lvlText w:val="•"/>
      <w:lvlJc w:val="left"/>
      <w:pPr>
        <w:tabs>
          <w:tab w:val="num" w:pos="4527"/>
        </w:tabs>
        <w:ind w:left="4527" w:hanging="360"/>
      </w:pPr>
      <w:rPr>
        <w:rFonts w:ascii="Arial" w:hAnsi="Arial" w:hint="default"/>
      </w:rPr>
    </w:lvl>
    <w:lvl w:ilvl="6" w:tplc="5AE8F5F0" w:tentative="1">
      <w:start w:val="1"/>
      <w:numFmt w:val="bullet"/>
      <w:lvlText w:val="•"/>
      <w:lvlJc w:val="left"/>
      <w:pPr>
        <w:tabs>
          <w:tab w:val="num" w:pos="5247"/>
        </w:tabs>
        <w:ind w:left="5247" w:hanging="360"/>
      </w:pPr>
      <w:rPr>
        <w:rFonts w:ascii="Arial" w:hAnsi="Arial" w:hint="default"/>
      </w:rPr>
    </w:lvl>
    <w:lvl w:ilvl="7" w:tplc="AB043FF6" w:tentative="1">
      <w:start w:val="1"/>
      <w:numFmt w:val="bullet"/>
      <w:lvlText w:val="•"/>
      <w:lvlJc w:val="left"/>
      <w:pPr>
        <w:tabs>
          <w:tab w:val="num" w:pos="5967"/>
        </w:tabs>
        <w:ind w:left="5967" w:hanging="360"/>
      </w:pPr>
      <w:rPr>
        <w:rFonts w:ascii="Arial" w:hAnsi="Arial" w:hint="default"/>
      </w:rPr>
    </w:lvl>
    <w:lvl w:ilvl="8" w:tplc="14882D3C" w:tentative="1">
      <w:start w:val="1"/>
      <w:numFmt w:val="bullet"/>
      <w:lvlText w:val="•"/>
      <w:lvlJc w:val="left"/>
      <w:pPr>
        <w:tabs>
          <w:tab w:val="num" w:pos="6687"/>
        </w:tabs>
        <w:ind w:left="6687" w:hanging="360"/>
      </w:pPr>
      <w:rPr>
        <w:rFonts w:ascii="Arial" w:hAnsi="Arial"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ED60C9"/>
    <w:multiLevelType w:val="hybridMultilevel"/>
    <w:tmpl w:val="5E2AD69E"/>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2921150"/>
    <w:multiLevelType w:val="hybridMultilevel"/>
    <w:tmpl w:val="6888A6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FA47297"/>
    <w:multiLevelType w:val="hybridMultilevel"/>
    <w:tmpl w:val="CCDCB6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772434"/>
    <w:multiLevelType w:val="hybridMultilevel"/>
    <w:tmpl w:val="158AA8A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A2423A2"/>
    <w:multiLevelType w:val="hybridMultilevel"/>
    <w:tmpl w:val="7876A42A"/>
    <w:lvl w:ilvl="0" w:tplc="9D8A6048">
      <w:start w:val="1"/>
      <w:numFmt w:val="bullet"/>
      <w:lvlText w:val="•"/>
      <w:lvlJc w:val="left"/>
      <w:pPr>
        <w:ind w:left="840" w:hanging="420"/>
      </w:pPr>
      <w:rPr>
        <w:rFonts w:ascii="Arial" w:hAnsi="Aria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F23E3C"/>
    <w:multiLevelType w:val="multilevel"/>
    <w:tmpl w:val="70A255C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FE572B8"/>
    <w:multiLevelType w:val="hybridMultilevel"/>
    <w:tmpl w:val="965A61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B6D58FC"/>
    <w:multiLevelType w:val="hybridMultilevel"/>
    <w:tmpl w:val="E9DAD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245217"/>
    <w:multiLevelType w:val="hybridMultilevel"/>
    <w:tmpl w:val="A2808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21"/>
  </w:num>
  <w:num w:numId="3">
    <w:abstractNumId w:val="16"/>
  </w:num>
  <w:num w:numId="4">
    <w:abstractNumId w:val="17"/>
  </w:num>
  <w:num w:numId="5">
    <w:abstractNumId w:val="13"/>
  </w:num>
  <w:num w:numId="6">
    <w:abstractNumId w:val="19"/>
  </w:num>
  <w:num w:numId="7">
    <w:abstractNumId w:val="22"/>
  </w:num>
  <w:num w:numId="8">
    <w:abstractNumId w:val="14"/>
  </w:num>
  <w:num w:numId="9">
    <w:abstractNumId w:val="30"/>
  </w:num>
  <w:num w:numId="10">
    <w:abstractNumId w:val="9"/>
  </w:num>
  <w:num w:numId="11">
    <w:abstractNumId w:val="4"/>
  </w:num>
  <w:num w:numId="12">
    <w:abstractNumId w:val="20"/>
  </w:num>
  <w:num w:numId="13">
    <w:abstractNumId w:val="26"/>
  </w:num>
  <w:num w:numId="14">
    <w:abstractNumId w:val="6"/>
  </w:num>
  <w:num w:numId="15">
    <w:abstractNumId w:val="0"/>
  </w:num>
  <w:num w:numId="16">
    <w:abstractNumId w:val="11"/>
  </w:num>
  <w:num w:numId="17">
    <w:abstractNumId w:val="23"/>
  </w:num>
  <w:num w:numId="18">
    <w:abstractNumId w:val="15"/>
  </w:num>
  <w:num w:numId="19">
    <w:abstractNumId w:val="8"/>
  </w:num>
  <w:num w:numId="20">
    <w:abstractNumId w:val="1"/>
  </w:num>
  <w:num w:numId="21">
    <w:abstractNumId w:val="7"/>
  </w:num>
  <w:num w:numId="22">
    <w:abstractNumId w:val="27"/>
  </w:num>
  <w:num w:numId="23">
    <w:abstractNumId w:val="24"/>
  </w:num>
  <w:num w:numId="24">
    <w:abstractNumId w:val="31"/>
  </w:num>
  <w:num w:numId="25">
    <w:abstractNumId w:val="3"/>
  </w:num>
  <w:num w:numId="26">
    <w:abstractNumId w:val="28"/>
  </w:num>
  <w:num w:numId="27">
    <w:abstractNumId w:val="29"/>
  </w:num>
  <w:num w:numId="28">
    <w:abstractNumId w:val="18"/>
  </w:num>
  <w:num w:numId="29">
    <w:abstractNumId w:val="10"/>
  </w:num>
  <w:num w:numId="30">
    <w:abstractNumId w:val="25"/>
  </w:num>
  <w:num w:numId="31">
    <w:abstractNumId w:val="2"/>
  </w:num>
  <w:num w:numId="32">
    <w:abstractNumId w:val="5"/>
  </w:num>
  <w:num w:numId="33">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6446"/>
    <w:rsid w:val="00006896"/>
    <w:rsid w:val="00007CDC"/>
    <w:rsid w:val="000104C6"/>
    <w:rsid w:val="00010E43"/>
    <w:rsid w:val="000110C9"/>
    <w:rsid w:val="00011B28"/>
    <w:rsid w:val="00011EE8"/>
    <w:rsid w:val="00012B9F"/>
    <w:rsid w:val="00012C16"/>
    <w:rsid w:val="000153E9"/>
    <w:rsid w:val="00015D15"/>
    <w:rsid w:val="0001611C"/>
    <w:rsid w:val="0001694D"/>
    <w:rsid w:val="000208E4"/>
    <w:rsid w:val="00021143"/>
    <w:rsid w:val="0002138D"/>
    <w:rsid w:val="00022522"/>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029"/>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BF1"/>
    <w:rsid w:val="0007787A"/>
    <w:rsid w:val="00077A1C"/>
    <w:rsid w:val="00077CF3"/>
    <w:rsid w:val="00077E5F"/>
    <w:rsid w:val="0008004D"/>
    <w:rsid w:val="00080281"/>
    <w:rsid w:val="0008036A"/>
    <w:rsid w:val="00080ABE"/>
    <w:rsid w:val="00081AE6"/>
    <w:rsid w:val="00082135"/>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03FC"/>
    <w:rsid w:val="000A1B7B"/>
    <w:rsid w:val="000A22F2"/>
    <w:rsid w:val="000A2538"/>
    <w:rsid w:val="000A3063"/>
    <w:rsid w:val="000A447B"/>
    <w:rsid w:val="000A56F2"/>
    <w:rsid w:val="000A7DC3"/>
    <w:rsid w:val="000B0223"/>
    <w:rsid w:val="000B02A2"/>
    <w:rsid w:val="000B0640"/>
    <w:rsid w:val="000B0A01"/>
    <w:rsid w:val="000B1595"/>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4E6"/>
    <w:rsid w:val="000C6F9D"/>
    <w:rsid w:val="000D0D07"/>
    <w:rsid w:val="000D162D"/>
    <w:rsid w:val="000D2F63"/>
    <w:rsid w:val="000D4797"/>
    <w:rsid w:val="000D4D63"/>
    <w:rsid w:val="000D503F"/>
    <w:rsid w:val="000D51D9"/>
    <w:rsid w:val="000D57A7"/>
    <w:rsid w:val="000D5C17"/>
    <w:rsid w:val="000D6833"/>
    <w:rsid w:val="000E0527"/>
    <w:rsid w:val="000E0669"/>
    <w:rsid w:val="000E18EA"/>
    <w:rsid w:val="000E1E92"/>
    <w:rsid w:val="000E20F9"/>
    <w:rsid w:val="000E22A6"/>
    <w:rsid w:val="000E23FF"/>
    <w:rsid w:val="000E371D"/>
    <w:rsid w:val="000E43AB"/>
    <w:rsid w:val="000E4471"/>
    <w:rsid w:val="000E5324"/>
    <w:rsid w:val="000E564C"/>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0FF"/>
    <w:rsid w:val="001005FF"/>
    <w:rsid w:val="00100770"/>
    <w:rsid w:val="00100F82"/>
    <w:rsid w:val="0010105B"/>
    <w:rsid w:val="00101244"/>
    <w:rsid w:val="00101BCC"/>
    <w:rsid w:val="0010203E"/>
    <w:rsid w:val="0010241F"/>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10E2"/>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722"/>
    <w:rsid w:val="00126B4A"/>
    <w:rsid w:val="00126C37"/>
    <w:rsid w:val="00127D88"/>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9C1"/>
    <w:rsid w:val="0016660C"/>
    <w:rsid w:val="001669BD"/>
    <w:rsid w:val="0016726A"/>
    <w:rsid w:val="001711A9"/>
    <w:rsid w:val="00171478"/>
    <w:rsid w:val="00171FAE"/>
    <w:rsid w:val="001735B9"/>
    <w:rsid w:val="00173A8E"/>
    <w:rsid w:val="0017437B"/>
    <w:rsid w:val="0017454F"/>
    <w:rsid w:val="001747A2"/>
    <w:rsid w:val="00174FE7"/>
    <w:rsid w:val="001750CB"/>
    <w:rsid w:val="00175A10"/>
    <w:rsid w:val="00175A7C"/>
    <w:rsid w:val="00176089"/>
    <w:rsid w:val="001762DB"/>
    <w:rsid w:val="00176850"/>
    <w:rsid w:val="00176E09"/>
    <w:rsid w:val="00176E1A"/>
    <w:rsid w:val="00176FB5"/>
    <w:rsid w:val="00180304"/>
    <w:rsid w:val="00180B6F"/>
    <w:rsid w:val="0018143F"/>
    <w:rsid w:val="00181712"/>
    <w:rsid w:val="00181D12"/>
    <w:rsid w:val="001833D1"/>
    <w:rsid w:val="001833FB"/>
    <w:rsid w:val="00183599"/>
    <w:rsid w:val="00184226"/>
    <w:rsid w:val="001843D4"/>
    <w:rsid w:val="001846F2"/>
    <w:rsid w:val="00185251"/>
    <w:rsid w:val="001856D0"/>
    <w:rsid w:val="00186721"/>
    <w:rsid w:val="00186F7A"/>
    <w:rsid w:val="00187149"/>
    <w:rsid w:val="00187FF9"/>
    <w:rsid w:val="00190AC1"/>
    <w:rsid w:val="00191071"/>
    <w:rsid w:val="001921DE"/>
    <w:rsid w:val="001924F7"/>
    <w:rsid w:val="001927C8"/>
    <w:rsid w:val="00192B67"/>
    <w:rsid w:val="00192D14"/>
    <w:rsid w:val="0019341A"/>
    <w:rsid w:val="00193ABA"/>
    <w:rsid w:val="0019468F"/>
    <w:rsid w:val="00194E68"/>
    <w:rsid w:val="00195E3B"/>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0B18"/>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217E"/>
    <w:rsid w:val="001E23E4"/>
    <w:rsid w:val="001E2AD7"/>
    <w:rsid w:val="001E3F06"/>
    <w:rsid w:val="001E58E2"/>
    <w:rsid w:val="001E5F35"/>
    <w:rsid w:val="001E7AED"/>
    <w:rsid w:val="001F0CCF"/>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327F"/>
    <w:rsid w:val="00203A34"/>
    <w:rsid w:val="00203BD1"/>
    <w:rsid w:val="00203F96"/>
    <w:rsid w:val="002041BF"/>
    <w:rsid w:val="00204831"/>
    <w:rsid w:val="00204C36"/>
    <w:rsid w:val="00204E32"/>
    <w:rsid w:val="002050C4"/>
    <w:rsid w:val="0020640E"/>
    <w:rsid w:val="002069B2"/>
    <w:rsid w:val="00207FA3"/>
    <w:rsid w:val="002111FD"/>
    <w:rsid w:val="00212596"/>
    <w:rsid w:val="00212912"/>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1A7"/>
    <w:rsid w:val="00223FCB"/>
    <w:rsid w:val="0022451F"/>
    <w:rsid w:val="002245DE"/>
    <w:rsid w:val="00224CC9"/>
    <w:rsid w:val="0022523C"/>
    <w:rsid w:val="002252C3"/>
    <w:rsid w:val="00225343"/>
    <w:rsid w:val="0022591B"/>
    <w:rsid w:val="00225C54"/>
    <w:rsid w:val="00225DC5"/>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356"/>
    <w:rsid w:val="00265521"/>
    <w:rsid w:val="00265C81"/>
    <w:rsid w:val="00266214"/>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5C7"/>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57DE"/>
    <w:rsid w:val="0028606E"/>
    <w:rsid w:val="00286560"/>
    <w:rsid w:val="00286ACD"/>
    <w:rsid w:val="00286BFC"/>
    <w:rsid w:val="002871CF"/>
    <w:rsid w:val="00287838"/>
    <w:rsid w:val="002907B5"/>
    <w:rsid w:val="00290CC2"/>
    <w:rsid w:val="002911CE"/>
    <w:rsid w:val="002912C6"/>
    <w:rsid w:val="0029135D"/>
    <w:rsid w:val="00291685"/>
    <w:rsid w:val="00292A72"/>
    <w:rsid w:val="00292EB7"/>
    <w:rsid w:val="00293390"/>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12EF"/>
    <w:rsid w:val="002D2E85"/>
    <w:rsid w:val="002D34B2"/>
    <w:rsid w:val="002D4147"/>
    <w:rsid w:val="002D4863"/>
    <w:rsid w:val="002D4ABC"/>
    <w:rsid w:val="002D5255"/>
    <w:rsid w:val="002D5933"/>
    <w:rsid w:val="002D5BFA"/>
    <w:rsid w:val="002D6218"/>
    <w:rsid w:val="002D652A"/>
    <w:rsid w:val="002D6B9B"/>
    <w:rsid w:val="002D6E41"/>
    <w:rsid w:val="002D7637"/>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39C7"/>
    <w:rsid w:val="0030501F"/>
    <w:rsid w:val="00305444"/>
    <w:rsid w:val="0030704D"/>
    <w:rsid w:val="00307A45"/>
    <w:rsid w:val="00307BA1"/>
    <w:rsid w:val="00311702"/>
    <w:rsid w:val="00311E82"/>
    <w:rsid w:val="003124BA"/>
    <w:rsid w:val="00312C0A"/>
    <w:rsid w:val="00313FD6"/>
    <w:rsid w:val="003143BD"/>
    <w:rsid w:val="003153C1"/>
    <w:rsid w:val="00315D13"/>
    <w:rsid w:val="00320177"/>
    <w:rsid w:val="003203ED"/>
    <w:rsid w:val="0032130F"/>
    <w:rsid w:val="00322820"/>
    <w:rsid w:val="00322C9F"/>
    <w:rsid w:val="003233E6"/>
    <w:rsid w:val="00324135"/>
    <w:rsid w:val="003242DD"/>
    <w:rsid w:val="00324AA1"/>
    <w:rsid w:val="00324D23"/>
    <w:rsid w:val="00325506"/>
    <w:rsid w:val="00325768"/>
    <w:rsid w:val="00325884"/>
    <w:rsid w:val="00325F35"/>
    <w:rsid w:val="003260A9"/>
    <w:rsid w:val="00330D80"/>
    <w:rsid w:val="00330D97"/>
    <w:rsid w:val="00331751"/>
    <w:rsid w:val="00331E4A"/>
    <w:rsid w:val="003329DD"/>
    <w:rsid w:val="003330BE"/>
    <w:rsid w:val="003334EA"/>
    <w:rsid w:val="0033352E"/>
    <w:rsid w:val="00333FD7"/>
    <w:rsid w:val="00334165"/>
    <w:rsid w:val="00334578"/>
    <w:rsid w:val="00334579"/>
    <w:rsid w:val="00334D0C"/>
    <w:rsid w:val="0033520D"/>
    <w:rsid w:val="00335858"/>
    <w:rsid w:val="0033609E"/>
    <w:rsid w:val="00336BDA"/>
    <w:rsid w:val="00337135"/>
    <w:rsid w:val="00340CA8"/>
    <w:rsid w:val="0034106C"/>
    <w:rsid w:val="0034166C"/>
    <w:rsid w:val="003419A8"/>
    <w:rsid w:val="00342055"/>
    <w:rsid w:val="00342BD7"/>
    <w:rsid w:val="00343C63"/>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6081"/>
    <w:rsid w:val="0035614B"/>
    <w:rsid w:val="00357380"/>
    <w:rsid w:val="00360259"/>
    <w:rsid w:val="003602D9"/>
    <w:rsid w:val="00360514"/>
    <w:rsid w:val="00361261"/>
    <w:rsid w:val="003616AD"/>
    <w:rsid w:val="003626B8"/>
    <w:rsid w:val="00362F2B"/>
    <w:rsid w:val="00363773"/>
    <w:rsid w:val="003649A8"/>
    <w:rsid w:val="00364B3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41C3"/>
    <w:rsid w:val="003D4835"/>
    <w:rsid w:val="003D4BA2"/>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2E43"/>
    <w:rsid w:val="003E3A77"/>
    <w:rsid w:val="003E3DD1"/>
    <w:rsid w:val="003E42D2"/>
    <w:rsid w:val="003E4493"/>
    <w:rsid w:val="003E46C7"/>
    <w:rsid w:val="003E4789"/>
    <w:rsid w:val="003E517D"/>
    <w:rsid w:val="003E55E4"/>
    <w:rsid w:val="003E5B3A"/>
    <w:rsid w:val="003E64AD"/>
    <w:rsid w:val="003E6DFC"/>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1A9"/>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6D4"/>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58"/>
    <w:rsid w:val="00434ED0"/>
    <w:rsid w:val="004352CF"/>
    <w:rsid w:val="00437447"/>
    <w:rsid w:val="00440C67"/>
    <w:rsid w:val="004410B9"/>
    <w:rsid w:val="00441829"/>
    <w:rsid w:val="00441A92"/>
    <w:rsid w:val="004427DC"/>
    <w:rsid w:val="00442A5F"/>
    <w:rsid w:val="00443C63"/>
    <w:rsid w:val="00444B1D"/>
    <w:rsid w:val="00444F56"/>
    <w:rsid w:val="004452C3"/>
    <w:rsid w:val="00445416"/>
    <w:rsid w:val="00445828"/>
    <w:rsid w:val="004459B0"/>
    <w:rsid w:val="004459C8"/>
    <w:rsid w:val="00446488"/>
    <w:rsid w:val="00446A99"/>
    <w:rsid w:val="0044705A"/>
    <w:rsid w:val="004475BC"/>
    <w:rsid w:val="00447BC3"/>
    <w:rsid w:val="00450214"/>
    <w:rsid w:val="00450677"/>
    <w:rsid w:val="004508BC"/>
    <w:rsid w:val="00450E98"/>
    <w:rsid w:val="004517AA"/>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3BB5"/>
    <w:rsid w:val="0046493F"/>
    <w:rsid w:val="0046612A"/>
    <w:rsid w:val="004661B2"/>
    <w:rsid w:val="004669E2"/>
    <w:rsid w:val="00466EE7"/>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606"/>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7362"/>
    <w:rsid w:val="00490025"/>
    <w:rsid w:val="00490B24"/>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74E1"/>
    <w:rsid w:val="004B7B68"/>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3961"/>
    <w:rsid w:val="00503A09"/>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66DD"/>
    <w:rsid w:val="0052740B"/>
    <w:rsid w:val="00527D68"/>
    <w:rsid w:val="00530333"/>
    <w:rsid w:val="00530D7E"/>
    <w:rsid w:val="00531661"/>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AC8"/>
    <w:rsid w:val="00545011"/>
    <w:rsid w:val="00545143"/>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5A05"/>
    <w:rsid w:val="0055688F"/>
    <w:rsid w:val="005574AF"/>
    <w:rsid w:val="005577C0"/>
    <w:rsid w:val="00560C31"/>
    <w:rsid w:val="00560E4C"/>
    <w:rsid w:val="0056121F"/>
    <w:rsid w:val="00563ABE"/>
    <w:rsid w:val="00563BB8"/>
    <w:rsid w:val="00563D67"/>
    <w:rsid w:val="00564F9F"/>
    <w:rsid w:val="00564FBF"/>
    <w:rsid w:val="00565DED"/>
    <w:rsid w:val="00566557"/>
    <w:rsid w:val="005666FA"/>
    <w:rsid w:val="00566EC0"/>
    <w:rsid w:val="0056778C"/>
    <w:rsid w:val="00567A86"/>
    <w:rsid w:val="005704BB"/>
    <w:rsid w:val="00570632"/>
    <w:rsid w:val="00570D73"/>
    <w:rsid w:val="00571554"/>
    <w:rsid w:val="005716E3"/>
    <w:rsid w:val="00571A96"/>
    <w:rsid w:val="00571BE1"/>
    <w:rsid w:val="00571D3C"/>
    <w:rsid w:val="00572505"/>
    <w:rsid w:val="00572A03"/>
    <w:rsid w:val="00573216"/>
    <w:rsid w:val="005735CE"/>
    <w:rsid w:val="005743DE"/>
    <w:rsid w:val="00574855"/>
    <w:rsid w:val="005752DA"/>
    <w:rsid w:val="005764C7"/>
    <w:rsid w:val="00576734"/>
    <w:rsid w:val="00576784"/>
    <w:rsid w:val="0057762F"/>
    <w:rsid w:val="005811CB"/>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80E"/>
    <w:rsid w:val="005A4A47"/>
    <w:rsid w:val="005A5838"/>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71C"/>
    <w:rsid w:val="005C2555"/>
    <w:rsid w:val="005C2834"/>
    <w:rsid w:val="005C34EB"/>
    <w:rsid w:val="005C37F3"/>
    <w:rsid w:val="005C42CB"/>
    <w:rsid w:val="005C433B"/>
    <w:rsid w:val="005C61AC"/>
    <w:rsid w:val="005C65B6"/>
    <w:rsid w:val="005C6E03"/>
    <w:rsid w:val="005C74FB"/>
    <w:rsid w:val="005C76FB"/>
    <w:rsid w:val="005C7D19"/>
    <w:rsid w:val="005D030D"/>
    <w:rsid w:val="005D1602"/>
    <w:rsid w:val="005D28DF"/>
    <w:rsid w:val="005D2D53"/>
    <w:rsid w:val="005D32AE"/>
    <w:rsid w:val="005D3BD2"/>
    <w:rsid w:val="005D4AB0"/>
    <w:rsid w:val="005D53C3"/>
    <w:rsid w:val="005D623C"/>
    <w:rsid w:val="005D69BE"/>
    <w:rsid w:val="005D7271"/>
    <w:rsid w:val="005D7A1B"/>
    <w:rsid w:val="005D7B61"/>
    <w:rsid w:val="005D7C82"/>
    <w:rsid w:val="005D7ED3"/>
    <w:rsid w:val="005E0C50"/>
    <w:rsid w:val="005E0C55"/>
    <w:rsid w:val="005E18FE"/>
    <w:rsid w:val="005E26D8"/>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51F"/>
    <w:rsid w:val="0060283C"/>
    <w:rsid w:val="00602B00"/>
    <w:rsid w:val="00602EF6"/>
    <w:rsid w:val="00603A84"/>
    <w:rsid w:val="0060420A"/>
    <w:rsid w:val="00604F14"/>
    <w:rsid w:val="00605289"/>
    <w:rsid w:val="006052F7"/>
    <w:rsid w:val="00605346"/>
    <w:rsid w:val="006059C5"/>
    <w:rsid w:val="00606ECD"/>
    <w:rsid w:val="006074C1"/>
    <w:rsid w:val="0060764F"/>
    <w:rsid w:val="00610E1F"/>
    <w:rsid w:val="006110CB"/>
    <w:rsid w:val="00611209"/>
    <w:rsid w:val="00611AB9"/>
    <w:rsid w:val="00611FDB"/>
    <w:rsid w:val="00613257"/>
    <w:rsid w:val="00614994"/>
    <w:rsid w:val="00614CE9"/>
    <w:rsid w:val="006151D2"/>
    <w:rsid w:val="00615318"/>
    <w:rsid w:val="00616D03"/>
    <w:rsid w:val="006203D2"/>
    <w:rsid w:val="00620B97"/>
    <w:rsid w:val="00621662"/>
    <w:rsid w:val="00621751"/>
    <w:rsid w:val="0062281D"/>
    <w:rsid w:val="00623058"/>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1B22"/>
    <w:rsid w:val="00632043"/>
    <w:rsid w:val="0063284C"/>
    <w:rsid w:val="00632BD0"/>
    <w:rsid w:val="00633697"/>
    <w:rsid w:val="00633814"/>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7A9"/>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47F68"/>
    <w:rsid w:val="00650A88"/>
    <w:rsid w:val="00650AB9"/>
    <w:rsid w:val="00650EA2"/>
    <w:rsid w:val="0065127D"/>
    <w:rsid w:val="00652807"/>
    <w:rsid w:val="006528B6"/>
    <w:rsid w:val="00652ACF"/>
    <w:rsid w:val="00652CED"/>
    <w:rsid w:val="00653266"/>
    <w:rsid w:val="006533E6"/>
    <w:rsid w:val="006538FC"/>
    <w:rsid w:val="00653FB4"/>
    <w:rsid w:val="00655733"/>
    <w:rsid w:val="00655ACD"/>
    <w:rsid w:val="00655CAD"/>
    <w:rsid w:val="00655CF7"/>
    <w:rsid w:val="00656289"/>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280"/>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5CD"/>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6FB"/>
    <w:rsid w:val="006A4DF1"/>
    <w:rsid w:val="006A52D5"/>
    <w:rsid w:val="006A586C"/>
    <w:rsid w:val="006A5E28"/>
    <w:rsid w:val="006A613C"/>
    <w:rsid w:val="006A6555"/>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0CCB"/>
    <w:rsid w:val="006C29D7"/>
    <w:rsid w:val="006C2D02"/>
    <w:rsid w:val="006C385B"/>
    <w:rsid w:val="006C3BFD"/>
    <w:rsid w:val="006C405C"/>
    <w:rsid w:val="006C4518"/>
    <w:rsid w:val="006C4E5C"/>
    <w:rsid w:val="006C545C"/>
    <w:rsid w:val="006C58DF"/>
    <w:rsid w:val="006C59FF"/>
    <w:rsid w:val="006C5B25"/>
    <w:rsid w:val="006C5E61"/>
    <w:rsid w:val="006C5EC9"/>
    <w:rsid w:val="006C6059"/>
    <w:rsid w:val="006C65D0"/>
    <w:rsid w:val="006C7522"/>
    <w:rsid w:val="006D0AF4"/>
    <w:rsid w:val="006D0CBF"/>
    <w:rsid w:val="006D0EF3"/>
    <w:rsid w:val="006D139D"/>
    <w:rsid w:val="006D1544"/>
    <w:rsid w:val="006D305F"/>
    <w:rsid w:val="006D351A"/>
    <w:rsid w:val="006D3A24"/>
    <w:rsid w:val="006D4C5B"/>
    <w:rsid w:val="006D5CE4"/>
    <w:rsid w:val="006D5FB2"/>
    <w:rsid w:val="006D6046"/>
    <w:rsid w:val="006D6439"/>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4"/>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04E3"/>
    <w:rsid w:val="007118CA"/>
    <w:rsid w:val="00711D31"/>
    <w:rsid w:val="00712287"/>
    <w:rsid w:val="00712772"/>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01E"/>
    <w:rsid w:val="007342C6"/>
    <w:rsid w:val="007348B1"/>
    <w:rsid w:val="00734E42"/>
    <w:rsid w:val="00734FCD"/>
    <w:rsid w:val="0073580E"/>
    <w:rsid w:val="007358C2"/>
    <w:rsid w:val="00736143"/>
    <w:rsid w:val="007362A6"/>
    <w:rsid w:val="007362DB"/>
    <w:rsid w:val="007368F6"/>
    <w:rsid w:val="00736AA2"/>
    <w:rsid w:val="00736D7D"/>
    <w:rsid w:val="007374F9"/>
    <w:rsid w:val="00737564"/>
    <w:rsid w:val="00737985"/>
    <w:rsid w:val="0074063A"/>
    <w:rsid w:val="00740E58"/>
    <w:rsid w:val="00741368"/>
    <w:rsid w:val="007427AE"/>
    <w:rsid w:val="007445A0"/>
    <w:rsid w:val="007451E7"/>
    <w:rsid w:val="0074524B"/>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A80"/>
    <w:rsid w:val="00760C05"/>
    <w:rsid w:val="007619D7"/>
    <w:rsid w:val="007623FB"/>
    <w:rsid w:val="00763B30"/>
    <w:rsid w:val="00764724"/>
    <w:rsid w:val="00764962"/>
    <w:rsid w:val="00765281"/>
    <w:rsid w:val="00766BAD"/>
    <w:rsid w:val="00770099"/>
    <w:rsid w:val="00770226"/>
    <w:rsid w:val="00771706"/>
    <w:rsid w:val="00771AA0"/>
    <w:rsid w:val="0077213F"/>
    <w:rsid w:val="00772C20"/>
    <w:rsid w:val="007731AF"/>
    <w:rsid w:val="007731FC"/>
    <w:rsid w:val="00773FB6"/>
    <w:rsid w:val="00774CC1"/>
    <w:rsid w:val="00774CE1"/>
    <w:rsid w:val="007750D5"/>
    <w:rsid w:val="007755F2"/>
    <w:rsid w:val="007756F8"/>
    <w:rsid w:val="00775856"/>
    <w:rsid w:val="007758EB"/>
    <w:rsid w:val="00775B80"/>
    <w:rsid w:val="00776971"/>
    <w:rsid w:val="00776B09"/>
    <w:rsid w:val="00777C37"/>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5EA"/>
    <w:rsid w:val="00792975"/>
    <w:rsid w:val="007929C8"/>
    <w:rsid w:val="00793229"/>
    <w:rsid w:val="00793339"/>
    <w:rsid w:val="00793CD8"/>
    <w:rsid w:val="00794596"/>
    <w:rsid w:val="00794C40"/>
    <w:rsid w:val="00795C92"/>
    <w:rsid w:val="00797AFF"/>
    <w:rsid w:val="00797D03"/>
    <w:rsid w:val="007A031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A7348"/>
    <w:rsid w:val="007B29DB"/>
    <w:rsid w:val="007B3D2D"/>
    <w:rsid w:val="007B437F"/>
    <w:rsid w:val="007B485F"/>
    <w:rsid w:val="007B50AE"/>
    <w:rsid w:val="007B51DF"/>
    <w:rsid w:val="007B5C47"/>
    <w:rsid w:val="007B6B74"/>
    <w:rsid w:val="007B75D5"/>
    <w:rsid w:val="007B7875"/>
    <w:rsid w:val="007C0476"/>
    <w:rsid w:val="007C05DD"/>
    <w:rsid w:val="007C13CB"/>
    <w:rsid w:val="007C19C1"/>
    <w:rsid w:val="007C22DA"/>
    <w:rsid w:val="007C28B9"/>
    <w:rsid w:val="007C2B96"/>
    <w:rsid w:val="007C2E46"/>
    <w:rsid w:val="007C3D18"/>
    <w:rsid w:val="007C459E"/>
    <w:rsid w:val="007C4B3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73B"/>
    <w:rsid w:val="0080079E"/>
    <w:rsid w:val="008008A2"/>
    <w:rsid w:val="00800A4C"/>
    <w:rsid w:val="00801562"/>
    <w:rsid w:val="0080187F"/>
    <w:rsid w:val="00801CC4"/>
    <w:rsid w:val="0080253D"/>
    <w:rsid w:val="00802DEB"/>
    <w:rsid w:val="0080325D"/>
    <w:rsid w:val="00803546"/>
    <w:rsid w:val="008036C5"/>
    <w:rsid w:val="00803DBD"/>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637"/>
    <w:rsid w:val="00814AD5"/>
    <w:rsid w:val="00814F7B"/>
    <w:rsid w:val="00815681"/>
    <w:rsid w:val="008156D5"/>
    <w:rsid w:val="008158D6"/>
    <w:rsid w:val="00815979"/>
    <w:rsid w:val="0081598F"/>
    <w:rsid w:val="00817196"/>
    <w:rsid w:val="00817570"/>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2D60"/>
    <w:rsid w:val="0083391C"/>
    <w:rsid w:val="00834C82"/>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C3F"/>
    <w:rsid w:val="008529CC"/>
    <w:rsid w:val="00854AC3"/>
    <w:rsid w:val="00854DF6"/>
    <w:rsid w:val="0085639A"/>
    <w:rsid w:val="00856476"/>
    <w:rsid w:val="0085648F"/>
    <w:rsid w:val="008568F5"/>
    <w:rsid w:val="00856911"/>
    <w:rsid w:val="008569B3"/>
    <w:rsid w:val="00857C50"/>
    <w:rsid w:val="008601DF"/>
    <w:rsid w:val="00860879"/>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29F"/>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6D00"/>
    <w:rsid w:val="00886D44"/>
    <w:rsid w:val="00886F61"/>
    <w:rsid w:val="00887B43"/>
    <w:rsid w:val="00887CC8"/>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465"/>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D7696"/>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2F2"/>
    <w:rsid w:val="008F197A"/>
    <w:rsid w:val="008F19BC"/>
    <w:rsid w:val="008F1EAB"/>
    <w:rsid w:val="008F33DC"/>
    <w:rsid w:val="008F37D2"/>
    <w:rsid w:val="008F4050"/>
    <w:rsid w:val="008F477F"/>
    <w:rsid w:val="008F6075"/>
    <w:rsid w:val="008F6BDC"/>
    <w:rsid w:val="008F6F19"/>
    <w:rsid w:val="008F7390"/>
    <w:rsid w:val="00900CA0"/>
    <w:rsid w:val="00900DCF"/>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163"/>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533B"/>
    <w:rsid w:val="0092560F"/>
    <w:rsid w:val="00925878"/>
    <w:rsid w:val="00925CBD"/>
    <w:rsid w:val="00927AAE"/>
    <w:rsid w:val="00931BD9"/>
    <w:rsid w:val="00932130"/>
    <w:rsid w:val="00932952"/>
    <w:rsid w:val="00933367"/>
    <w:rsid w:val="00933E80"/>
    <w:rsid w:val="00933F7A"/>
    <w:rsid w:val="00934396"/>
    <w:rsid w:val="009349BB"/>
    <w:rsid w:val="00935A7F"/>
    <w:rsid w:val="009363C4"/>
    <w:rsid w:val="00940C00"/>
    <w:rsid w:val="00941636"/>
    <w:rsid w:val="00942743"/>
    <w:rsid w:val="00942D57"/>
    <w:rsid w:val="009433F1"/>
    <w:rsid w:val="009436AF"/>
    <w:rsid w:val="00943742"/>
    <w:rsid w:val="00943A35"/>
    <w:rsid w:val="0094403B"/>
    <w:rsid w:val="00944521"/>
    <w:rsid w:val="00944A5E"/>
    <w:rsid w:val="0094503B"/>
    <w:rsid w:val="009455CF"/>
    <w:rsid w:val="00945630"/>
    <w:rsid w:val="0094580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73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1F30"/>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97652"/>
    <w:rsid w:val="009A005D"/>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2DAB"/>
    <w:rsid w:val="009C30B2"/>
    <w:rsid w:val="009C403E"/>
    <w:rsid w:val="009C4923"/>
    <w:rsid w:val="009C5410"/>
    <w:rsid w:val="009C5948"/>
    <w:rsid w:val="009C5A31"/>
    <w:rsid w:val="009C62EF"/>
    <w:rsid w:val="009C6640"/>
    <w:rsid w:val="009C6698"/>
    <w:rsid w:val="009C6EB9"/>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5DB"/>
    <w:rsid w:val="009E3889"/>
    <w:rsid w:val="009E4004"/>
    <w:rsid w:val="009E47A3"/>
    <w:rsid w:val="009E4EB7"/>
    <w:rsid w:val="009E5D88"/>
    <w:rsid w:val="009E602D"/>
    <w:rsid w:val="009E6469"/>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4088"/>
    <w:rsid w:val="009F70DE"/>
    <w:rsid w:val="009F753B"/>
    <w:rsid w:val="009F7BDB"/>
    <w:rsid w:val="009F7C5C"/>
    <w:rsid w:val="009F7DAD"/>
    <w:rsid w:val="009F7E85"/>
    <w:rsid w:val="00A00254"/>
    <w:rsid w:val="00A0026D"/>
    <w:rsid w:val="00A0039D"/>
    <w:rsid w:val="00A021CA"/>
    <w:rsid w:val="00A0293F"/>
    <w:rsid w:val="00A02D6D"/>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254"/>
    <w:rsid w:val="00A27785"/>
    <w:rsid w:val="00A30187"/>
    <w:rsid w:val="00A30C0E"/>
    <w:rsid w:val="00A319C8"/>
    <w:rsid w:val="00A33041"/>
    <w:rsid w:val="00A33696"/>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1B99"/>
    <w:rsid w:val="00A71DE7"/>
    <w:rsid w:val="00A71E0A"/>
    <w:rsid w:val="00A7246D"/>
    <w:rsid w:val="00A72E81"/>
    <w:rsid w:val="00A73989"/>
    <w:rsid w:val="00A739D0"/>
    <w:rsid w:val="00A73D7E"/>
    <w:rsid w:val="00A746CE"/>
    <w:rsid w:val="00A74F7D"/>
    <w:rsid w:val="00A74F97"/>
    <w:rsid w:val="00A754EE"/>
    <w:rsid w:val="00A761D4"/>
    <w:rsid w:val="00A76F0D"/>
    <w:rsid w:val="00A773F0"/>
    <w:rsid w:val="00A776B4"/>
    <w:rsid w:val="00A77C04"/>
    <w:rsid w:val="00A77EC4"/>
    <w:rsid w:val="00A80633"/>
    <w:rsid w:val="00A81391"/>
    <w:rsid w:val="00A83B47"/>
    <w:rsid w:val="00A84099"/>
    <w:rsid w:val="00A8445F"/>
    <w:rsid w:val="00A852ED"/>
    <w:rsid w:val="00A8531C"/>
    <w:rsid w:val="00A85A38"/>
    <w:rsid w:val="00A85D63"/>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5EA7"/>
    <w:rsid w:val="00AA76CD"/>
    <w:rsid w:val="00AB0338"/>
    <w:rsid w:val="00AB04D2"/>
    <w:rsid w:val="00AB0BC8"/>
    <w:rsid w:val="00AB11CA"/>
    <w:rsid w:val="00AB1387"/>
    <w:rsid w:val="00AB14D9"/>
    <w:rsid w:val="00AB19C7"/>
    <w:rsid w:val="00AB1B76"/>
    <w:rsid w:val="00AB1C41"/>
    <w:rsid w:val="00AB3B29"/>
    <w:rsid w:val="00AB4AB8"/>
    <w:rsid w:val="00AB4BAA"/>
    <w:rsid w:val="00AB5469"/>
    <w:rsid w:val="00AB655E"/>
    <w:rsid w:val="00AB693B"/>
    <w:rsid w:val="00AB6EAE"/>
    <w:rsid w:val="00AB7DA2"/>
    <w:rsid w:val="00AC007F"/>
    <w:rsid w:val="00AC115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0D"/>
    <w:rsid w:val="00AE0416"/>
    <w:rsid w:val="00AE0A60"/>
    <w:rsid w:val="00AE150B"/>
    <w:rsid w:val="00AE1722"/>
    <w:rsid w:val="00AE27AC"/>
    <w:rsid w:val="00AE34E7"/>
    <w:rsid w:val="00AE360D"/>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AFF"/>
    <w:rsid w:val="00AF643F"/>
    <w:rsid w:val="00AF6DA0"/>
    <w:rsid w:val="00B006FE"/>
    <w:rsid w:val="00B007CB"/>
    <w:rsid w:val="00B00A65"/>
    <w:rsid w:val="00B02AA9"/>
    <w:rsid w:val="00B02D93"/>
    <w:rsid w:val="00B02FA3"/>
    <w:rsid w:val="00B03281"/>
    <w:rsid w:val="00B05084"/>
    <w:rsid w:val="00B076BB"/>
    <w:rsid w:val="00B10EEB"/>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3DB"/>
    <w:rsid w:val="00B26C1E"/>
    <w:rsid w:val="00B2763F"/>
    <w:rsid w:val="00B278D7"/>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10C"/>
    <w:rsid w:val="00B36F25"/>
    <w:rsid w:val="00B36F3A"/>
    <w:rsid w:val="00B372AA"/>
    <w:rsid w:val="00B40445"/>
    <w:rsid w:val="00B407D2"/>
    <w:rsid w:val="00B41888"/>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517B"/>
    <w:rsid w:val="00B55300"/>
    <w:rsid w:val="00B57004"/>
    <w:rsid w:val="00B57291"/>
    <w:rsid w:val="00B575E0"/>
    <w:rsid w:val="00B57A4E"/>
    <w:rsid w:val="00B57B83"/>
    <w:rsid w:val="00B57D38"/>
    <w:rsid w:val="00B57D49"/>
    <w:rsid w:val="00B57FF9"/>
    <w:rsid w:val="00B60BB3"/>
    <w:rsid w:val="00B61557"/>
    <w:rsid w:val="00B62BEF"/>
    <w:rsid w:val="00B63658"/>
    <w:rsid w:val="00B63B96"/>
    <w:rsid w:val="00B63CEF"/>
    <w:rsid w:val="00B64A5E"/>
    <w:rsid w:val="00B66456"/>
    <w:rsid w:val="00B664C7"/>
    <w:rsid w:val="00B66F4E"/>
    <w:rsid w:val="00B7019D"/>
    <w:rsid w:val="00B7285B"/>
    <w:rsid w:val="00B72868"/>
    <w:rsid w:val="00B7330A"/>
    <w:rsid w:val="00B7331C"/>
    <w:rsid w:val="00B73583"/>
    <w:rsid w:val="00B739F6"/>
    <w:rsid w:val="00B76D2A"/>
    <w:rsid w:val="00B777F2"/>
    <w:rsid w:val="00B77FFB"/>
    <w:rsid w:val="00B81A7B"/>
    <w:rsid w:val="00B81D61"/>
    <w:rsid w:val="00B81FF6"/>
    <w:rsid w:val="00B8209E"/>
    <w:rsid w:val="00B84C08"/>
    <w:rsid w:val="00B85203"/>
    <w:rsid w:val="00B852E5"/>
    <w:rsid w:val="00B85920"/>
    <w:rsid w:val="00B85DE5"/>
    <w:rsid w:val="00B85F55"/>
    <w:rsid w:val="00B85F9D"/>
    <w:rsid w:val="00B863E8"/>
    <w:rsid w:val="00B866B2"/>
    <w:rsid w:val="00B86DE8"/>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BB"/>
    <w:rsid w:val="00BA76E0"/>
    <w:rsid w:val="00BB0A24"/>
    <w:rsid w:val="00BB0D98"/>
    <w:rsid w:val="00BB0DE4"/>
    <w:rsid w:val="00BB1B23"/>
    <w:rsid w:val="00BB21B4"/>
    <w:rsid w:val="00BB2863"/>
    <w:rsid w:val="00BB2A25"/>
    <w:rsid w:val="00BB2B8E"/>
    <w:rsid w:val="00BB2BED"/>
    <w:rsid w:val="00BB30F3"/>
    <w:rsid w:val="00BB6BE1"/>
    <w:rsid w:val="00BB6E21"/>
    <w:rsid w:val="00BB703C"/>
    <w:rsid w:val="00BC0979"/>
    <w:rsid w:val="00BC0BC7"/>
    <w:rsid w:val="00BC0CE6"/>
    <w:rsid w:val="00BC0F31"/>
    <w:rsid w:val="00BC0FC0"/>
    <w:rsid w:val="00BC0FDC"/>
    <w:rsid w:val="00BC1353"/>
    <w:rsid w:val="00BC1A21"/>
    <w:rsid w:val="00BC4D2E"/>
    <w:rsid w:val="00BC4E54"/>
    <w:rsid w:val="00BC74D1"/>
    <w:rsid w:val="00BD0073"/>
    <w:rsid w:val="00BD48AC"/>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512B"/>
    <w:rsid w:val="00BF51F4"/>
    <w:rsid w:val="00BF6454"/>
    <w:rsid w:val="00BF6EEA"/>
    <w:rsid w:val="00BF74C7"/>
    <w:rsid w:val="00BF7E9D"/>
    <w:rsid w:val="00C0032C"/>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BC"/>
    <w:rsid w:val="00C11103"/>
    <w:rsid w:val="00C11633"/>
    <w:rsid w:val="00C11E79"/>
    <w:rsid w:val="00C12107"/>
    <w:rsid w:val="00C13962"/>
    <w:rsid w:val="00C14D4B"/>
    <w:rsid w:val="00C154BB"/>
    <w:rsid w:val="00C15D1A"/>
    <w:rsid w:val="00C1608A"/>
    <w:rsid w:val="00C16757"/>
    <w:rsid w:val="00C17316"/>
    <w:rsid w:val="00C17956"/>
    <w:rsid w:val="00C226CD"/>
    <w:rsid w:val="00C23EAD"/>
    <w:rsid w:val="00C24AA4"/>
    <w:rsid w:val="00C24D21"/>
    <w:rsid w:val="00C26007"/>
    <w:rsid w:val="00C279B5"/>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739"/>
    <w:rsid w:val="00C45DA8"/>
    <w:rsid w:val="00C45F08"/>
    <w:rsid w:val="00C46B7B"/>
    <w:rsid w:val="00C500B5"/>
    <w:rsid w:val="00C5010D"/>
    <w:rsid w:val="00C503B7"/>
    <w:rsid w:val="00C5097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6A49"/>
    <w:rsid w:val="00C671CA"/>
    <w:rsid w:val="00C67D98"/>
    <w:rsid w:val="00C70697"/>
    <w:rsid w:val="00C70D2F"/>
    <w:rsid w:val="00C728F3"/>
    <w:rsid w:val="00C72EF4"/>
    <w:rsid w:val="00C7412A"/>
    <w:rsid w:val="00C754E8"/>
    <w:rsid w:val="00C755E3"/>
    <w:rsid w:val="00C75D2F"/>
    <w:rsid w:val="00C76D90"/>
    <w:rsid w:val="00C76E3C"/>
    <w:rsid w:val="00C77624"/>
    <w:rsid w:val="00C8085D"/>
    <w:rsid w:val="00C81568"/>
    <w:rsid w:val="00C82387"/>
    <w:rsid w:val="00C82773"/>
    <w:rsid w:val="00C82DFE"/>
    <w:rsid w:val="00C830E3"/>
    <w:rsid w:val="00C84C4B"/>
    <w:rsid w:val="00C857B3"/>
    <w:rsid w:val="00C85DC0"/>
    <w:rsid w:val="00C860EE"/>
    <w:rsid w:val="00C86CFF"/>
    <w:rsid w:val="00C86F35"/>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6D48"/>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B0F89"/>
    <w:rsid w:val="00CB1F63"/>
    <w:rsid w:val="00CB2067"/>
    <w:rsid w:val="00CB37DE"/>
    <w:rsid w:val="00CB4899"/>
    <w:rsid w:val="00CB4D5A"/>
    <w:rsid w:val="00CB6855"/>
    <w:rsid w:val="00CB6997"/>
    <w:rsid w:val="00CB79B1"/>
    <w:rsid w:val="00CC040E"/>
    <w:rsid w:val="00CC05E6"/>
    <w:rsid w:val="00CC111F"/>
    <w:rsid w:val="00CC1AB0"/>
    <w:rsid w:val="00CC1E1C"/>
    <w:rsid w:val="00CC3806"/>
    <w:rsid w:val="00CC3E12"/>
    <w:rsid w:val="00CC3EA0"/>
    <w:rsid w:val="00CC469C"/>
    <w:rsid w:val="00CC4E43"/>
    <w:rsid w:val="00CC51F4"/>
    <w:rsid w:val="00CC5C3E"/>
    <w:rsid w:val="00CC5D4D"/>
    <w:rsid w:val="00CC66FA"/>
    <w:rsid w:val="00CC67A1"/>
    <w:rsid w:val="00CC71A0"/>
    <w:rsid w:val="00CC7B45"/>
    <w:rsid w:val="00CC7F4D"/>
    <w:rsid w:val="00CD0B1E"/>
    <w:rsid w:val="00CD1188"/>
    <w:rsid w:val="00CD15BB"/>
    <w:rsid w:val="00CD2ED1"/>
    <w:rsid w:val="00CD337B"/>
    <w:rsid w:val="00CD4CD9"/>
    <w:rsid w:val="00CD63B2"/>
    <w:rsid w:val="00CD652C"/>
    <w:rsid w:val="00CD688B"/>
    <w:rsid w:val="00CD6B8F"/>
    <w:rsid w:val="00CD6CA5"/>
    <w:rsid w:val="00CD6FCC"/>
    <w:rsid w:val="00CD7B72"/>
    <w:rsid w:val="00CE0744"/>
    <w:rsid w:val="00CE0F52"/>
    <w:rsid w:val="00CE1237"/>
    <w:rsid w:val="00CE1A49"/>
    <w:rsid w:val="00CE277C"/>
    <w:rsid w:val="00CE292F"/>
    <w:rsid w:val="00CE2C47"/>
    <w:rsid w:val="00CE4A12"/>
    <w:rsid w:val="00CE4A93"/>
    <w:rsid w:val="00CE4B16"/>
    <w:rsid w:val="00CE59DC"/>
    <w:rsid w:val="00CE5B18"/>
    <w:rsid w:val="00CE5EBF"/>
    <w:rsid w:val="00CE7561"/>
    <w:rsid w:val="00CE75E3"/>
    <w:rsid w:val="00CF07BD"/>
    <w:rsid w:val="00CF0924"/>
    <w:rsid w:val="00CF0C35"/>
    <w:rsid w:val="00CF11F6"/>
    <w:rsid w:val="00CF1354"/>
    <w:rsid w:val="00CF309A"/>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349B"/>
    <w:rsid w:val="00D04EAA"/>
    <w:rsid w:val="00D05A48"/>
    <w:rsid w:val="00D0634C"/>
    <w:rsid w:val="00D06D04"/>
    <w:rsid w:val="00D071A3"/>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12E2"/>
    <w:rsid w:val="00D21443"/>
    <w:rsid w:val="00D235FD"/>
    <w:rsid w:val="00D239A7"/>
    <w:rsid w:val="00D23F47"/>
    <w:rsid w:val="00D248DC"/>
    <w:rsid w:val="00D24B5D"/>
    <w:rsid w:val="00D2528D"/>
    <w:rsid w:val="00D25297"/>
    <w:rsid w:val="00D25F93"/>
    <w:rsid w:val="00D267AA"/>
    <w:rsid w:val="00D26C60"/>
    <w:rsid w:val="00D26F4D"/>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3DAF"/>
    <w:rsid w:val="00D440F8"/>
    <w:rsid w:val="00D4526B"/>
    <w:rsid w:val="00D46BFA"/>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07D"/>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4E2F"/>
    <w:rsid w:val="00D85D70"/>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97CF8"/>
    <w:rsid w:val="00DA1E71"/>
    <w:rsid w:val="00DA2A4E"/>
    <w:rsid w:val="00DA2D31"/>
    <w:rsid w:val="00DA305E"/>
    <w:rsid w:val="00DA4340"/>
    <w:rsid w:val="00DA4B74"/>
    <w:rsid w:val="00DA4E27"/>
    <w:rsid w:val="00DA5417"/>
    <w:rsid w:val="00DA56E8"/>
    <w:rsid w:val="00DA5B30"/>
    <w:rsid w:val="00DA6066"/>
    <w:rsid w:val="00DA64C6"/>
    <w:rsid w:val="00DA6990"/>
    <w:rsid w:val="00DA70FE"/>
    <w:rsid w:val="00DA716E"/>
    <w:rsid w:val="00DB0292"/>
    <w:rsid w:val="00DB19A3"/>
    <w:rsid w:val="00DB27F9"/>
    <w:rsid w:val="00DB377D"/>
    <w:rsid w:val="00DB50C5"/>
    <w:rsid w:val="00DB5732"/>
    <w:rsid w:val="00DB59AD"/>
    <w:rsid w:val="00DB6054"/>
    <w:rsid w:val="00DB6E10"/>
    <w:rsid w:val="00DB6FD5"/>
    <w:rsid w:val="00DC0BB6"/>
    <w:rsid w:val="00DC112E"/>
    <w:rsid w:val="00DC2D36"/>
    <w:rsid w:val="00DC3D86"/>
    <w:rsid w:val="00DC4F13"/>
    <w:rsid w:val="00DC53EF"/>
    <w:rsid w:val="00DC5E99"/>
    <w:rsid w:val="00DC5FB3"/>
    <w:rsid w:val="00DC6129"/>
    <w:rsid w:val="00DC631A"/>
    <w:rsid w:val="00DC6DC7"/>
    <w:rsid w:val="00DD017F"/>
    <w:rsid w:val="00DD08C3"/>
    <w:rsid w:val="00DD126B"/>
    <w:rsid w:val="00DD1AE7"/>
    <w:rsid w:val="00DD3166"/>
    <w:rsid w:val="00DD3666"/>
    <w:rsid w:val="00DD3A6E"/>
    <w:rsid w:val="00DD3D12"/>
    <w:rsid w:val="00DD6064"/>
    <w:rsid w:val="00DD698D"/>
    <w:rsid w:val="00DD72E3"/>
    <w:rsid w:val="00DD7666"/>
    <w:rsid w:val="00DD781B"/>
    <w:rsid w:val="00DD7E75"/>
    <w:rsid w:val="00DE110B"/>
    <w:rsid w:val="00DE11C9"/>
    <w:rsid w:val="00DE1E23"/>
    <w:rsid w:val="00DE1E69"/>
    <w:rsid w:val="00DE1F4C"/>
    <w:rsid w:val="00DE23DC"/>
    <w:rsid w:val="00DE3510"/>
    <w:rsid w:val="00DE41BA"/>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203C"/>
    <w:rsid w:val="00E022FC"/>
    <w:rsid w:val="00E02F50"/>
    <w:rsid w:val="00E031D9"/>
    <w:rsid w:val="00E03573"/>
    <w:rsid w:val="00E04BB2"/>
    <w:rsid w:val="00E05500"/>
    <w:rsid w:val="00E060FC"/>
    <w:rsid w:val="00E065EE"/>
    <w:rsid w:val="00E07799"/>
    <w:rsid w:val="00E0794D"/>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99F"/>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83C"/>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38C9"/>
    <w:rsid w:val="00E446F1"/>
    <w:rsid w:val="00E44802"/>
    <w:rsid w:val="00E4545A"/>
    <w:rsid w:val="00E45AFC"/>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3CA"/>
    <w:rsid w:val="00E70B69"/>
    <w:rsid w:val="00E71515"/>
    <w:rsid w:val="00E71A10"/>
    <w:rsid w:val="00E71B86"/>
    <w:rsid w:val="00E72EFC"/>
    <w:rsid w:val="00E749C9"/>
    <w:rsid w:val="00E758EC"/>
    <w:rsid w:val="00E75B4D"/>
    <w:rsid w:val="00E76421"/>
    <w:rsid w:val="00E76EEA"/>
    <w:rsid w:val="00E7776E"/>
    <w:rsid w:val="00E77CE1"/>
    <w:rsid w:val="00E77D53"/>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24"/>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489D"/>
    <w:rsid w:val="00EA517C"/>
    <w:rsid w:val="00EA5283"/>
    <w:rsid w:val="00EA5461"/>
    <w:rsid w:val="00EA580E"/>
    <w:rsid w:val="00EA64B0"/>
    <w:rsid w:val="00EA6B68"/>
    <w:rsid w:val="00EA745A"/>
    <w:rsid w:val="00EA7A01"/>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7237"/>
    <w:rsid w:val="00EB73C3"/>
    <w:rsid w:val="00EB7B69"/>
    <w:rsid w:val="00EC168A"/>
    <w:rsid w:val="00EC1D1E"/>
    <w:rsid w:val="00EC1DF7"/>
    <w:rsid w:val="00EC2605"/>
    <w:rsid w:val="00EC27C6"/>
    <w:rsid w:val="00EC31D2"/>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808"/>
    <w:rsid w:val="00ED454D"/>
    <w:rsid w:val="00ED4AFA"/>
    <w:rsid w:val="00ED635F"/>
    <w:rsid w:val="00ED6BD6"/>
    <w:rsid w:val="00ED6E55"/>
    <w:rsid w:val="00ED78C9"/>
    <w:rsid w:val="00ED7EE4"/>
    <w:rsid w:val="00EE0D13"/>
    <w:rsid w:val="00EE1F98"/>
    <w:rsid w:val="00EE280C"/>
    <w:rsid w:val="00EE28F5"/>
    <w:rsid w:val="00EE35AB"/>
    <w:rsid w:val="00EE6B5A"/>
    <w:rsid w:val="00EE7CE1"/>
    <w:rsid w:val="00EF00FF"/>
    <w:rsid w:val="00EF015F"/>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2AC0"/>
    <w:rsid w:val="00F038FE"/>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3946"/>
    <w:rsid w:val="00F15491"/>
    <w:rsid w:val="00F15FA5"/>
    <w:rsid w:val="00F163C6"/>
    <w:rsid w:val="00F1664B"/>
    <w:rsid w:val="00F168FA"/>
    <w:rsid w:val="00F16A6F"/>
    <w:rsid w:val="00F16F27"/>
    <w:rsid w:val="00F16F51"/>
    <w:rsid w:val="00F1733E"/>
    <w:rsid w:val="00F200E8"/>
    <w:rsid w:val="00F209B7"/>
    <w:rsid w:val="00F21135"/>
    <w:rsid w:val="00F21C5E"/>
    <w:rsid w:val="00F23D23"/>
    <w:rsid w:val="00F243D8"/>
    <w:rsid w:val="00F243E4"/>
    <w:rsid w:val="00F26E23"/>
    <w:rsid w:val="00F276AD"/>
    <w:rsid w:val="00F27994"/>
    <w:rsid w:val="00F27FAF"/>
    <w:rsid w:val="00F30648"/>
    <w:rsid w:val="00F30828"/>
    <w:rsid w:val="00F313D6"/>
    <w:rsid w:val="00F31EE4"/>
    <w:rsid w:val="00F32194"/>
    <w:rsid w:val="00F33417"/>
    <w:rsid w:val="00F3387A"/>
    <w:rsid w:val="00F3414F"/>
    <w:rsid w:val="00F34480"/>
    <w:rsid w:val="00F34B14"/>
    <w:rsid w:val="00F34EDE"/>
    <w:rsid w:val="00F351B8"/>
    <w:rsid w:val="00F35D41"/>
    <w:rsid w:val="00F35DDC"/>
    <w:rsid w:val="00F35F56"/>
    <w:rsid w:val="00F36E1A"/>
    <w:rsid w:val="00F376AF"/>
    <w:rsid w:val="00F3773E"/>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3AB2"/>
    <w:rsid w:val="00F54253"/>
    <w:rsid w:val="00F5450F"/>
    <w:rsid w:val="00F54D17"/>
    <w:rsid w:val="00F54F08"/>
    <w:rsid w:val="00F55C20"/>
    <w:rsid w:val="00F55D60"/>
    <w:rsid w:val="00F570BF"/>
    <w:rsid w:val="00F57485"/>
    <w:rsid w:val="00F57752"/>
    <w:rsid w:val="00F607C5"/>
    <w:rsid w:val="00F60DEA"/>
    <w:rsid w:val="00F61363"/>
    <w:rsid w:val="00F6302A"/>
    <w:rsid w:val="00F637BC"/>
    <w:rsid w:val="00F63838"/>
    <w:rsid w:val="00F643D1"/>
    <w:rsid w:val="00F64C2B"/>
    <w:rsid w:val="00F64DC0"/>
    <w:rsid w:val="00F651BE"/>
    <w:rsid w:val="00F65F27"/>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951"/>
    <w:rsid w:val="00F81DA0"/>
    <w:rsid w:val="00F82D21"/>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2905"/>
    <w:rsid w:val="00F9378A"/>
    <w:rsid w:val="00F93AA9"/>
    <w:rsid w:val="00F963B0"/>
    <w:rsid w:val="00F96985"/>
    <w:rsid w:val="00F96B5B"/>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094B"/>
    <w:rsid w:val="00FC186B"/>
    <w:rsid w:val="00FC1DCB"/>
    <w:rsid w:val="00FC2019"/>
    <w:rsid w:val="00FC22FC"/>
    <w:rsid w:val="00FC2E17"/>
    <w:rsid w:val="00FC3355"/>
    <w:rsid w:val="00FC4002"/>
    <w:rsid w:val="00FC4B11"/>
    <w:rsid w:val="00FC4B8F"/>
    <w:rsid w:val="00FC58D4"/>
    <w:rsid w:val="00FC5A27"/>
    <w:rsid w:val="00FC5DE8"/>
    <w:rsid w:val="00FC5E13"/>
    <w:rsid w:val="00FC6469"/>
    <w:rsid w:val="00FC6D90"/>
    <w:rsid w:val="00FC7349"/>
    <w:rsid w:val="00FC7429"/>
    <w:rsid w:val="00FC7AB3"/>
    <w:rsid w:val="00FD07F6"/>
    <w:rsid w:val="00FD096B"/>
    <w:rsid w:val="00FD0F09"/>
    <w:rsid w:val="00FD1872"/>
    <w:rsid w:val="00FD1EC8"/>
    <w:rsid w:val="00FD2E88"/>
    <w:rsid w:val="00FD3B87"/>
    <w:rsid w:val="00FD4578"/>
    <w:rsid w:val="00FD47ED"/>
    <w:rsid w:val="00FD710F"/>
    <w:rsid w:val="00FD74DB"/>
    <w:rsid w:val="00FD75E6"/>
    <w:rsid w:val="00FD7660"/>
    <w:rsid w:val="00FD7894"/>
    <w:rsid w:val="00FD7BE1"/>
    <w:rsid w:val="00FE0490"/>
    <w:rsid w:val="00FE0655"/>
    <w:rsid w:val="00FE1F53"/>
    <w:rsid w:val="00FE220A"/>
    <w:rsid w:val="00FE2365"/>
    <w:rsid w:val="00FE32C1"/>
    <w:rsid w:val="00FE37D0"/>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0032C"/>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D97CF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heme="minorHAnsi"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D97CF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D97CF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D97CF8"/>
    <w:pPr>
      <w:numPr>
        <w:ilvl w:val="3"/>
      </w:numPr>
      <w:outlineLvl w:val="3"/>
    </w:pPr>
    <w:rPr>
      <w:sz w:val="24"/>
      <w:szCs w:val="24"/>
    </w:rPr>
  </w:style>
  <w:style w:type="paragraph" w:styleId="Heading5">
    <w:name w:val="heading 5"/>
    <w:basedOn w:val="Heading4"/>
    <w:next w:val="Normal"/>
    <w:link w:val="Heading5Char"/>
    <w:qFormat/>
    <w:rsid w:val="00D97CF8"/>
    <w:pPr>
      <w:numPr>
        <w:ilvl w:val="4"/>
      </w:numPr>
      <w:outlineLvl w:val="4"/>
    </w:pPr>
    <w:rPr>
      <w:sz w:val="22"/>
      <w:szCs w:val="22"/>
    </w:rPr>
  </w:style>
  <w:style w:type="paragraph" w:styleId="Heading6">
    <w:name w:val="heading 6"/>
    <w:basedOn w:val="Normal"/>
    <w:next w:val="Normal"/>
    <w:link w:val="Heading6Char"/>
    <w:qFormat/>
    <w:rsid w:val="00D97CF8"/>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D97CF8"/>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D97CF8"/>
    <w:pPr>
      <w:numPr>
        <w:ilvl w:val="7"/>
      </w:numPr>
      <w:outlineLvl w:val="7"/>
    </w:pPr>
  </w:style>
  <w:style w:type="paragraph" w:styleId="Heading9">
    <w:name w:val="heading 9"/>
    <w:basedOn w:val="Heading8"/>
    <w:next w:val="Normal"/>
    <w:link w:val="Heading9Char"/>
    <w:qFormat/>
    <w:rsid w:val="00D97CF8"/>
    <w:pPr>
      <w:numPr>
        <w:ilvl w:val="8"/>
      </w:numPr>
      <w:outlineLvl w:val="8"/>
    </w:pPr>
  </w:style>
  <w:style w:type="character" w:default="1" w:styleId="DefaultParagraphFont">
    <w:name w:val="Default Paragraph Font"/>
    <w:uiPriority w:val="1"/>
    <w:semiHidden/>
    <w:unhideWhenUsed/>
    <w:rsid w:val="00C0032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0032C"/>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D97CF8"/>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97CF8"/>
    <w:rPr>
      <w:rFonts w:ascii="Arial" w:eastAsiaTheme="minorHAnsi"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D97CF8"/>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D97CF8"/>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D97CF8"/>
    <w:rPr>
      <w:rFonts w:ascii="Arial" w:eastAsiaTheme="minorHAnsi" w:hAnsi="Arial"/>
      <w:sz w:val="32"/>
      <w:szCs w:val="32"/>
      <w:lang w:val="en-GB" w:eastAsia="zh-CN"/>
    </w:rPr>
  </w:style>
  <w:style w:type="paragraph" w:styleId="ListParagraph">
    <w:name w:val="List Paragraph"/>
    <w:basedOn w:val="Normal"/>
    <w:uiPriority w:val="34"/>
    <w:qFormat/>
    <w:rsid w:val="00D97CF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D97CF8"/>
    <w:pPr>
      <w:spacing w:before="40" w:after="0"/>
    </w:pPr>
    <w:rPr>
      <w:rFonts w:ascii="Arial" w:eastAsia="MS Mincho" w:hAnsi="Arial"/>
      <w:i/>
      <w:sz w:val="18"/>
      <w:szCs w:val="24"/>
      <w:lang w:eastAsia="en-GB"/>
    </w:rPr>
  </w:style>
  <w:style w:type="character" w:customStyle="1" w:styleId="CommentsChar">
    <w:name w:val="Comments Char"/>
    <w:link w:val="Comments"/>
    <w:rsid w:val="00D97CF8"/>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D97CF8"/>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D97CF8"/>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D97CF8"/>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D97CF8"/>
    <w:rPr>
      <w:rFonts w:ascii="Calibri Light" w:eastAsia="Times New Roman" w:hAnsi="Calibri Light"/>
      <w:spacing w:val="-10"/>
      <w:kern w:val="28"/>
      <w:sz w:val="56"/>
      <w:szCs w:val="56"/>
      <w:lang w:val="en-US"/>
    </w:rPr>
  </w:style>
  <w:style w:type="paragraph" w:styleId="TOCHeading">
    <w:name w:val="TOC Heading"/>
    <w:basedOn w:val="Heading1"/>
    <w:next w:val="Normal"/>
    <w:uiPriority w:val="39"/>
    <w:unhideWhenUsed/>
    <w:qFormat/>
    <w:rsid w:val="00D97CF8"/>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D97CF8"/>
    <w:pPr>
      <w:spacing w:after="0"/>
      <w:contextualSpacing/>
    </w:pPr>
    <w:rPr>
      <w:rFonts w:ascii="Calibri Light" w:eastAsia="Times New Roman"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D97CF8"/>
    <w:rPr>
      <w:rFonts w:ascii="Arial" w:eastAsiaTheme="minorHAnsi"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97CF8"/>
    <w:rPr>
      <w:rFonts w:ascii="Arial" w:eastAsiaTheme="minorHAnsi" w:hAnsi="Arial"/>
      <w:sz w:val="24"/>
      <w:szCs w:val="24"/>
      <w:lang w:val="en-GB" w:eastAsia="zh-CN"/>
    </w:rPr>
  </w:style>
  <w:style w:type="character" w:customStyle="1" w:styleId="Heading5Char">
    <w:name w:val="Heading 5 Char"/>
    <w:basedOn w:val="DefaultParagraphFont"/>
    <w:link w:val="Heading5"/>
    <w:rsid w:val="00D97CF8"/>
    <w:rPr>
      <w:rFonts w:ascii="Arial" w:eastAsiaTheme="minorHAnsi" w:hAnsi="Arial"/>
      <w:sz w:val="22"/>
      <w:szCs w:val="22"/>
      <w:lang w:val="en-GB" w:eastAsia="zh-CN"/>
    </w:rPr>
  </w:style>
  <w:style w:type="character" w:customStyle="1" w:styleId="Heading6Char">
    <w:name w:val="Heading 6 Char"/>
    <w:basedOn w:val="DefaultParagraphFont"/>
    <w:link w:val="Heading6"/>
    <w:rsid w:val="00D97CF8"/>
    <w:rPr>
      <w:rFonts w:ascii="Arial" w:eastAsiaTheme="minorHAnsi" w:hAnsi="Arial" w:cs="Arial"/>
      <w:sz w:val="22"/>
      <w:lang w:val="en-GB" w:eastAsia="zh-CN"/>
    </w:rPr>
  </w:style>
  <w:style w:type="character" w:customStyle="1" w:styleId="Heading7Char">
    <w:name w:val="Heading 7 Char"/>
    <w:basedOn w:val="DefaultParagraphFont"/>
    <w:link w:val="Heading7"/>
    <w:rsid w:val="00D97CF8"/>
    <w:rPr>
      <w:rFonts w:ascii="Arial" w:eastAsiaTheme="minorHAnsi" w:hAnsi="Arial" w:cs="Arial"/>
      <w:sz w:val="22"/>
      <w:lang w:val="en-GB" w:eastAsia="zh-CN"/>
    </w:rPr>
  </w:style>
  <w:style w:type="character" w:customStyle="1" w:styleId="Heading8Char">
    <w:name w:val="Heading 8 Char"/>
    <w:basedOn w:val="DefaultParagraphFont"/>
    <w:link w:val="Heading8"/>
    <w:rsid w:val="00D97CF8"/>
    <w:rPr>
      <w:rFonts w:ascii="Arial" w:eastAsiaTheme="minorHAnsi" w:hAnsi="Arial" w:cs="Arial"/>
      <w:sz w:val="22"/>
      <w:lang w:val="en-GB" w:eastAsia="zh-CN"/>
    </w:rPr>
  </w:style>
  <w:style w:type="character" w:customStyle="1" w:styleId="Heading9Char">
    <w:name w:val="Heading 9 Char"/>
    <w:basedOn w:val="DefaultParagraphFont"/>
    <w:link w:val="Heading9"/>
    <w:rsid w:val="00D97CF8"/>
    <w:rPr>
      <w:rFonts w:ascii="Arial" w:eastAsiaTheme="minorHAnsi" w:hAnsi="Arial" w:cs="Arial"/>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6456928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0925906">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207966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RAN</b:Tag>
    <b:SourceType>Report</b:SourceType>
    <b:Guid>{CA465F62-A04F-443D-BF51-14016219DCAF}</b:Guid>
    <b:Title>RAN1#86bis Chairman’s Notes</b:Title>
    <b:RefOrder>1</b:RefOrder>
  </b:Source>
</b:Sources>
</file>

<file path=customXml/itemProps1.xml><?xml version="1.0" encoding="utf-8"?>
<ds:datastoreItem xmlns:ds="http://schemas.openxmlformats.org/officeDocument/2006/customXml" ds:itemID="{3BF5210C-CB04-4EBE-A774-3E33073B5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1779</Words>
  <Characters>10143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11899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2017-09-11T22:45:00Z</dcterms:created>
  <dcterms:modified xsi:type="dcterms:W3CDTF">2017-09-11T22:45:00Z</dcterms:modified>
  <cp:category/>
</cp:coreProperties>
</file>